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auto"/>
        <w:spacing w:before="0" w:beforeLines="0" w:after="0" w:afterLines="0"/>
        <w:rPr>
          <w:rFonts w:hint="eastAsia" w:ascii="仿宋" w:hAnsi="仿宋" w:eastAsia="仿宋" w:cs="仿宋"/>
          <w:b w:val="0"/>
          <w:color w:val="auto"/>
          <w:sz w:val="32"/>
          <w:highlight w:val="none"/>
        </w:rPr>
      </w:pPr>
      <w:bookmarkStart w:id="0" w:name="_Toc12616"/>
      <w:bookmarkStart w:id="1" w:name="_Toc9341"/>
      <w:bookmarkStart w:id="2" w:name="_Toc14790"/>
      <w:bookmarkStart w:id="3" w:name="_Toc3912"/>
      <w:r>
        <w:rPr>
          <w:rFonts w:hint="eastAsia" w:ascii="仿宋" w:hAnsi="仿宋" w:eastAsia="仿宋" w:cs="仿宋"/>
          <w:b w:val="0"/>
          <w:color w:val="auto"/>
          <w:sz w:val="32"/>
          <w:highlight w:val="none"/>
        </w:rPr>
        <w:t>第三章  评标办法（</w:t>
      </w:r>
      <w:r>
        <w:rPr>
          <w:rFonts w:hint="eastAsia" w:ascii="仿宋" w:hAnsi="仿宋" w:eastAsia="仿宋" w:cs="仿宋"/>
          <w:b w:val="0"/>
          <w:color w:val="auto"/>
          <w:sz w:val="32"/>
          <w:highlight w:val="none"/>
          <w:lang w:eastAsia="zh-CN"/>
        </w:rPr>
        <w:t>双信封的</w:t>
      </w:r>
      <w:r>
        <w:rPr>
          <w:rFonts w:hint="eastAsia" w:ascii="仿宋" w:hAnsi="仿宋" w:eastAsia="仿宋" w:cs="仿宋"/>
          <w:b w:val="0"/>
          <w:color w:val="auto"/>
          <w:sz w:val="32"/>
          <w:highlight w:val="none"/>
          <w:lang w:val="en-US" w:eastAsia="zh-CN"/>
        </w:rPr>
        <w:t>综合评分</w:t>
      </w:r>
      <w:r>
        <w:rPr>
          <w:rFonts w:hint="eastAsia" w:ascii="仿宋" w:hAnsi="仿宋" w:eastAsia="仿宋" w:cs="仿宋"/>
          <w:b w:val="0"/>
          <w:color w:val="auto"/>
          <w:sz w:val="32"/>
          <w:highlight w:val="none"/>
          <w:lang w:eastAsia="zh-CN"/>
        </w:rPr>
        <w:t>法</w:t>
      </w:r>
      <w:r>
        <w:rPr>
          <w:rFonts w:hint="eastAsia" w:ascii="仿宋" w:hAnsi="仿宋" w:eastAsia="仿宋" w:cs="仿宋"/>
          <w:b w:val="0"/>
          <w:color w:val="auto"/>
          <w:sz w:val="32"/>
          <w:highlight w:val="none"/>
        </w:rPr>
        <w:t>）</w:t>
      </w:r>
      <w:bookmarkEnd w:id="0"/>
      <w:bookmarkEnd w:id="1"/>
      <w:bookmarkEnd w:id="2"/>
      <w:bookmarkEnd w:id="3"/>
    </w:p>
    <w:p>
      <w:pPr>
        <w:spacing w:line="400" w:lineRule="atLeast"/>
        <w:rPr>
          <w:rFonts w:hint="eastAsia" w:ascii="仿宋" w:hAnsi="仿宋" w:eastAsia="仿宋" w:cs="仿宋"/>
          <w:b/>
          <w:color w:val="auto"/>
          <w:sz w:val="32"/>
          <w:highlight w:val="none"/>
        </w:rPr>
      </w:pPr>
    </w:p>
    <w:p>
      <w:pPr>
        <w:spacing w:line="400" w:lineRule="atLeast"/>
        <w:rPr>
          <w:rFonts w:hint="eastAsia" w:ascii="仿宋" w:hAnsi="仿宋" w:eastAsia="仿宋" w:cs="仿宋"/>
          <w:b/>
          <w:color w:val="auto"/>
          <w:sz w:val="32"/>
          <w:highlight w:val="none"/>
        </w:rPr>
      </w:pPr>
    </w:p>
    <w:p>
      <w:pPr>
        <w:spacing w:line="400" w:lineRule="atLeast"/>
        <w:rPr>
          <w:rFonts w:hint="eastAsia" w:ascii="仿宋" w:hAnsi="仿宋" w:eastAsia="仿宋" w:cs="仿宋"/>
          <w:b/>
          <w:color w:val="auto"/>
          <w:sz w:val="32"/>
          <w:highlight w:val="none"/>
        </w:rPr>
      </w:pPr>
    </w:p>
    <w:p>
      <w:pPr>
        <w:spacing w:line="400" w:lineRule="atLeast"/>
        <w:rPr>
          <w:rFonts w:hint="eastAsia" w:ascii="仿宋" w:hAnsi="仿宋" w:eastAsia="仿宋" w:cs="仿宋"/>
          <w:b/>
          <w:color w:val="auto"/>
          <w:sz w:val="32"/>
          <w:highlight w:val="none"/>
        </w:rPr>
      </w:pPr>
    </w:p>
    <w:p>
      <w:pPr>
        <w:spacing w:line="400" w:lineRule="atLeast"/>
        <w:rPr>
          <w:rFonts w:hint="eastAsia" w:ascii="仿宋" w:hAnsi="仿宋" w:eastAsia="仿宋" w:cs="仿宋"/>
          <w:b/>
          <w:color w:val="auto"/>
          <w:sz w:val="32"/>
          <w:highlight w:val="none"/>
        </w:rPr>
      </w:pPr>
    </w:p>
    <w:p>
      <w:pPr>
        <w:spacing w:line="400" w:lineRule="atLeast"/>
        <w:rPr>
          <w:rFonts w:hint="eastAsia" w:ascii="仿宋" w:hAnsi="仿宋" w:eastAsia="仿宋" w:cs="仿宋"/>
          <w:b/>
          <w:color w:val="auto"/>
          <w:sz w:val="32"/>
          <w:highlight w:val="none"/>
        </w:rPr>
      </w:pPr>
    </w:p>
    <w:p>
      <w:pPr>
        <w:spacing w:line="400" w:lineRule="atLeast"/>
        <w:rPr>
          <w:rFonts w:hint="eastAsia" w:ascii="仿宋" w:hAnsi="仿宋" w:eastAsia="仿宋" w:cs="仿宋"/>
          <w:b/>
          <w:color w:val="auto"/>
          <w:sz w:val="32"/>
          <w:highlight w:val="none"/>
        </w:rPr>
      </w:pPr>
    </w:p>
    <w:p>
      <w:pPr>
        <w:spacing w:line="400" w:lineRule="atLeast"/>
        <w:rPr>
          <w:rFonts w:hint="eastAsia" w:ascii="仿宋" w:hAnsi="仿宋" w:eastAsia="仿宋" w:cs="仿宋"/>
          <w:b/>
          <w:color w:val="auto"/>
          <w:sz w:val="32"/>
          <w:highlight w:val="none"/>
        </w:rPr>
      </w:pPr>
    </w:p>
    <w:p>
      <w:pPr>
        <w:spacing w:line="400" w:lineRule="atLeast"/>
        <w:rPr>
          <w:rFonts w:hint="eastAsia" w:ascii="仿宋" w:hAnsi="仿宋" w:eastAsia="仿宋" w:cs="仿宋"/>
          <w:b/>
          <w:color w:val="auto"/>
          <w:sz w:val="32"/>
          <w:highlight w:val="none"/>
        </w:rPr>
      </w:pPr>
    </w:p>
    <w:p>
      <w:pPr>
        <w:spacing w:line="400" w:lineRule="atLeast"/>
        <w:rPr>
          <w:rFonts w:hint="eastAsia" w:ascii="仿宋" w:hAnsi="仿宋" w:eastAsia="仿宋" w:cs="仿宋"/>
          <w:b/>
          <w:color w:val="auto"/>
          <w:sz w:val="32"/>
          <w:highlight w:val="none"/>
        </w:rPr>
      </w:pPr>
    </w:p>
    <w:p>
      <w:pPr>
        <w:spacing w:line="400" w:lineRule="atLeast"/>
        <w:rPr>
          <w:rFonts w:hint="eastAsia" w:ascii="仿宋" w:hAnsi="仿宋" w:eastAsia="仿宋" w:cs="仿宋"/>
          <w:b/>
          <w:color w:val="auto"/>
          <w:sz w:val="32"/>
          <w:highlight w:val="none"/>
        </w:rPr>
      </w:pPr>
    </w:p>
    <w:p>
      <w:pPr>
        <w:spacing w:line="400" w:lineRule="atLeast"/>
        <w:rPr>
          <w:rFonts w:hint="eastAsia" w:ascii="仿宋" w:hAnsi="仿宋" w:eastAsia="仿宋" w:cs="仿宋"/>
          <w:b/>
          <w:color w:val="auto"/>
          <w:sz w:val="32"/>
          <w:highlight w:val="none"/>
        </w:rPr>
      </w:pPr>
    </w:p>
    <w:p>
      <w:pPr>
        <w:spacing w:line="400" w:lineRule="atLeast"/>
        <w:rPr>
          <w:rFonts w:hint="eastAsia" w:ascii="仿宋" w:hAnsi="仿宋" w:eastAsia="仿宋" w:cs="仿宋"/>
          <w:b/>
          <w:color w:val="auto"/>
          <w:sz w:val="32"/>
          <w:highlight w:val="none"/>
        </w:rPr>
      </w:pPr>
    </w:p>
    <w:p>
      <w:pPr>
        <w:spacing w:line="400" w:lineRule="atLeast"/>
        <w:rPr>
          <w:rFonts w:hint="eastAsia" w:ascii="仿宋" w:hAnsi="仿宋" w:eastAsia="仿宋" w:cs="仿宋"/>
          <w:b/>
          <w:color w:val="auto"/>
          <w:sz w:val="32"/>
          <w:highlight w:val="none"/>
        </w:rPr>
      </w:pPr>
    </w:p>
    <w:p>
      <w:pPr>
        <w:spacing w:line="400" w:lineRule="atLeast"/>
        <w:rPr>
          <w:rFonts w:hint="eastAsia" w:ascii="仿宋" w:hAnsi="仿宋" w:eastAsia="仿宋" w:cs="仿宋"/>
          <w:b/>
          <w:color w:val="auto"/>
          <w:sz w:val="32"/>
          <w:highlight w:val="none"/>
        </w:rPr>
      </w:pPr>
    </w:p>
    <w:p>
      <w:pPr>
        <w:spacing w:line="400" w:lineRule="atLeast"/>
        <w:rPr>
          <w:rFonts w:hint="eastAsia" w:ascii="仿宋" w:hAnsi="仿宋" w:eastAsia="仿宋" w:cs="仿宋"/>
          <w:b/>
          <w:color w:val="auto"/>
          <w:sz w:val="32"/>
          <w:highlight w:val="none"/>
        </w:rPr>
      </w:pPr>
    </w:p>
    <w:p>
      <w:pPr>
        <w:spacing w:line="400" w:lineRule="atLeast"/>
        <w:ind w:left="0" w:leftChars="0" w:right="0" w:rightChars="0"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w:t>
      </w:r>
      <w:bookmarkStart w:id="4" w:name="_Toc397326529"/>
      <w:bookmarkStart w:id="5" w:name="_Toc354067803"/>
    </w:p>
    <w:p>
      <w:pPr>
        <w:spacing w:line="400" w:lineRule="atLeast"/>
        <w:ind w:left="0" w:leftChars="0" w:right="0" w:rightChars="0" w:firstLine="0" w:firstLineChars="0"/>
        <w:jc w:val="center"/>
        <w:rPr>
          <w:rFonts w:hint="eastAsia" w:ascii="仿宋" w:hAnsi="仿宋" w:eastAsia="仿宋" w:cs="仿宋"/>
          <w:b/>
          <w:color w:val="auto"/>
          <w:sz w:val="28"/>
          <w:szCs w:val="28"/>
          <w:highlight w:val="none"/>
        </w:rPr>
      </w:pPr>
    </w:p>
    <w:p>
      <w:pPr>
        <w:spacing w:line="400" w:lineRule="atLeast"/>
        <w:ind w:left="0" w:leftChars="0" w:right="0" w:rightChars="0" w:firstLine="0" w:firstLineChars="0"/>
        <w:jc w:val="center"/>
        <w:rPr>
          <w:rFonts w:hint="eastAsia" w:ascii="仿宋" w:hAnsi="仿宋" w:eastAsia="仿宋" w:cs="仿宋"/>
          <w:b/>
          <w:color w:val="auto"/>
          <w:sz w:val="28"/>
          <w:szCs w:val="28"/>
          <w:highlight w:val="none"/>
        </w:rPr>
      </w:pPr>
    </w:p>
    <w:p>
      <w:pPr>
        <w:spacing w:line="400" w:lineRule="atLeast"/>
        <w:ind w:left="0" w:leftChars="0" w:right="0" w:rightChars="0" w:firstLine="0" w:firstLineChars="0"/>
        <w:jc w:val="center"/>
        <w:rPr>
          <w:rFonts w:hint="eastAsia" w:ascii="仿宋" w:hAnsi="仿宋" w:eastAsia="仿宋" w:cs="仿宋"/>
          <w:b/>
          <w:color w:val="auto"/>
          <w:sz w:val="28"/>
          <w:szCs w:val="28"/>
          <w:highlight w:val="none"/>
        </w:rPr>
      </w:pPr>
    </w:p>
    <w:p>
      <w:pPr>
        <w:spacing w:line="400" w:lineRule="atLeast"/>
        <w:ind w:left="0" w:leftChars="0" w:right="0" w:rightChars="0" w:firstLine="0" w:firstLineChars="0"/>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评标办法前附表</w:t>
      </w:r>
      <w:bookmarkEnd w:id="4"/>
      <w:bookmarkEnd w:id="5"/>
    </w:p>
    <w:p>
      <w:pPr>
        <w:jc w:val="center"/>
        <w:rPr>
          <w:rFonts w:hint="eastAsia" w:ascii="仿宋" w:hAnsi="仿宋" w:eastAsia="仿宋" w:cs="仿宋"/>
          <w:b/>
          <w:color w:val="auto"/>
          <w:sz w:val="18"/>
          <w:szCs w:val="18"/>
          <w:highlight w:val="none"/>
        </w:rPr>
      </w:pPr>
    </w:p>
    <w:tbl>
      <w:tblPr>
        <w:tblStyle w:val="4"/>
        <w:tblW w:w="9844"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79"/>
        <w:gridCol w:w="1045"/>
        <w:gridCol w:w="79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95" w:hRule="atLeast"/>
          <w:tblHeader/>
          <w:jc w:val="center"/>
        </w:trPr>
        <w:tc>
          <w:tcPr>
            <w:tcW w:w="1924" w:type="dxa"/>
            <w:gridSpan w:val="2"/>
            <w:vAlign w:val="center"/>
          </w:tcPr>
          <w:p>
            <w:pPr>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条款号</w:t>
            </w:r>
          </w:p>
        </w:tc>
        <w:tc>
          <w:tcPr>
            <w:tcW w:w="7920" w:type="dxa"/>
            <w:vAlign w:val="center"/>
          </w:tcPr>
          <w:p>
            <w:pPr>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评审因素与评审标准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888" w:hRule="atLeast"/>
          <w:tblHeader/>
          <w:jc w:val="center"/>
        </w:trPr>
        <w:tc>
          <w:tcPr>
            <w:tcW w:w="879" w:type="dxa"/>
            <w:vAlign w:val="center"/>
          </w:tcPr>
          <w:p>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w:t>
            </w:r>
          </w:p>
        </w:tc>
        <w:tc>
          <w:tcPr>
            <w:tcW w:w="1045" w:type="dxa"/>
            <w:vAlign w:val="center"/>
          </w:tcPr>
          <w:p>
            <w:pP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评标方法</w:t>
            </w:r>
          </w:p>
        </w:tc>
        <w:tc>
          <w:tcPr>
            <w:tcW w:w="7920" w:type="dxa"/>
            <w:vAlign w:val="center"/>
          </w:tcPr>
          <w:p>
            <w:pPr>
              <w:pStyle w:val="6"/>
              <w:kinsoku w:val="0"/>
              <w:overflowPunct w:val="0"/>
              <w:spacing w:before="157" w:beforeLines="0" w:line="331" w:lineRule="auto"/>
              <w:ind w:right="139"/>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综合评分相等时，评标委员会依次按照以下优先顺序推荐中标候选人或确定中标人：</w:t>
            </w:r>
          </w:p>
          <w:p>
            <w:pPr>
              <w:keepNext w:val="0"/>
              <w:keepLines w:val="0"/>
              <w:pageBreakBefore w:val="0"/>
              <w:widowControl w:val="0"/>
              <w:wordWrap/>
              <w:topLinePunct w:val="0"/>
              <w:autoSpaceDE/>
              <w:autoSpaceDN/>
              <w:bidi w:val="0"/>
              <w:adjustRightInd/>
              <w:snapToGrid/>
              <w:spacing w:line="360" w:lineRule="auto"/>
              <w:ind w:right="0" w:rightChars="0" w:firstLine="360" w:firstLineChars="150"/>
              <w:jc w:val="both"/>
              <w:textAlignment w:val="auto"/>
              <w:outlineLvl w:val="9"/>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lang w:val="en-US" w:eastAsia="zh-CN"/>
              </w:rPr>
              <w:t>1</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rPr>
              <w:t>以投标报价较低的投标人排名优先</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rPr>
              <w:t>当一家以上投标人综合得分相等且评标价也相等时，若各投标人工程量清单细目单价也相同，视为串标（一个合同段仅一工作细目报价的除外），应否决其投标；</w:t>
            </w:r>
          </w:p>
          <w:p>
            <w:pPr>
              <w:pStyle w:val="6"/>
              <w:keepNext w:val="0"/>
              <w:keepLines w:val="0"/>
              <w:pageBreakBefore w:val="0"/>
              <w:widowControl w:val="0"/>
              <w:kinsoku w:val="0"/>
              <w:wordWrap/>
              <w:overflowPunct w:val="0"/>
              <w:topLinePunct w:val="0"/>
              <w:autoSpaceDE/>
              <w:autoSpaceDN/>
              <w:bidi w:val="0"/>
              <w:adjustRightInd/>
              <w:snapToGrid/>
              <w:spacing w:before="22" w:beforeLines="0" w:line="360" w:lineRule="auto"/>
              <w:ind w:left="0" w:leftChars="0" w:right="0" w:rightChars="0" w:firstLine="36" w:firstLineChars="15"/>
              <w:jc w:val="both"/>
              <w:textAlignment w:val="auto"/>
              <w:outlineLvl w:val="9"/>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 xml:space="preserve">  （2）被广东省交通运输厅最新年度评为较高信用等级的投标人优先；【采用如下的优先顺序：承诺使用的 AA 级投标人、不承诺使用的 AA 级投标人、 承诺使用的 A 级投标人、不承诺使用的 A 级投标人、B 级投标人、未参评且被确 定为 B 级投标人】</w:t>
            </w:r>
          </w:p>
          <w:p>
            <w:pPr>
              <w:pStyle w:val="6"/>
              <w:keepNext w:val="0"/>
              <w:keepLines w:val="0"/>
              <w:pageBreakBefore w:val="0"/>
              <w:widowControl w:val="0"/>
              <w:kinsoku w:val="0"/>
              <w:wordWrap/>
              <w:overflowPunct w:val="0"/>
              <w:topLinePunct w:val="0"/>
              <w:autoSpaceDE/>
              <w:autoSpaceDN/>
              <w:bidi w:val="0"/>
              <w:adjustRightInd/>
              <w:snapToGrid/>
              <w:spacing w:before="22" w:beforeLines="0" w:line="360" w:lineRule="auto"/>
              <w:ind w:left="0" w:leftChars="0" w:right="0" w:rightChars="0" w:firstLine="273" w:firstLineChars="114"/>
              <w:jc w:val="both"/>
              <w:textAlignment w:val="auto"/>
              <w:outlineLvl w:val="9"/>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（3）以投标人企业最新年度净资产较高的优先；</w:t>
            </w:r>
          </w:p>
          <w:p>
            <w:pPr>
              <w:pStyle w:val="6"/>
              <w:keepNext w:val="0"/>
              <w:keepLines w:val="0"/>
              <w:pageBreakBefore w:val="0"/>
              <w:widowControl w:val="0"/>
              <w:kinsoku w:val="0"/>
              <w:wordWrap/>
              <w:overflowPunct w:val="0"/>
              <w:topLinePunct w:val="0"/>
              <w:autoSpaceDE/>
              <w:autoSpaceDN/>
              <w:bidi w:val="0"/>
              <w:adjustRightInd/>
              <w:snapToGrid/>
              <w:spacing w:before="22" w:beforeLines="0" w:line="360" w:lineRule="auto"/>
              <w:ind w:right="0" w:rightChars="0" w:firstLine="240" w:firstLineChars="100"/>
              <w:jc w:val="both"/>
              <w:textAlignment w:val="auto"/>
              <w:outlineLvl w:val="9"/>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bidi="ar-SA"/>
              </w:rPr>
              <w:t>（4）评标委员会视投标人情况综合比较，投票确定其名次。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10296" w:hRule="atLeast"/>
          <w:tblHeader/>
          <w:jc w:val="center"/>
        </w:trPr>
        <w:tc>
          <w:tcPr>
            <w:tcW w:w="879" w:type="dxa"/>
            <w:vAlign w:val="center"/>
          </w:tcPr>
          <w:p>
            <w:pPr>
              <w:jc w:val="center"/>
              <w:rPr>
                <w:rFonts w:hint="eastAsia" w:ascii="仿宋" w:hAnsi="仿宋" w:eastAsia="仿宋" w:cs="仿宋"/>
                <w:color w:val="auto"/>
                <w:sz w:val="24"/>
                <w:szCs w:val="24"/>
                <w:highlight w:val="none"/>
                <w:lang w:val="en-US" w:eastAsia="zh-CN"/>
              </w:rPr>
            </w:pPr>
          </w:p>
        </w:tc>
        <w:tc>
          <w:tcPr>
            <w:tcW w:w="1045" w:type="dxa"/>
            <w:vAlign w:val="center"/>
          </w:tcPr>
          <w:p>
            <w:pPr>
              <w:rPr>
                <w:rFonts w:hint="eastAsia" w:ascii="仿宋" w:hAnsi="仿宋" w:eastAsia="仿宋" w:cs="仿宋"/>
                <w:color w:val="auto"/>
                <w:sz w:val="24"/>
                <w:szCs w:val="24"/>
                <w:highlight w:val="none"/>
                <w:lang w:val="en-US" w:eastAsia="zh-CN"/>
              </w:rPr>
            </w:pPr>
          </w:p>
        </w:tc>
        <w:tc>
          <w:tcPr>
            <w:tcW w:w="7920" w:type="dxa"/>
            <w:vAlign w:val="center"/>
          </w:tcPr>
          <w:p>
            <w:pPr>
              <w:keepNext w:val="0"/>
              <w:keepLines w:val="0"/>
              <w:pageBreakBefore w:val="0"/>
              <w:widowControl w:val="0"/>
              <w:kinsoku/>
              <w:wordWrap/>
              <w:overflowPunct/>
              <w:topLinePunct w:val="0"/>
              <w:autoSpaceDE/>
              <w:autoSpaceDN/>
              <w:bidi w:val="0"/>
              <w:adjustRightInd/>
              <w:snapToGrid/>
              <w:spacing w:after="0" w:afterLines="0" w:line="380" w:lineRule="exact"/>
              <w:jc w:val="left"/>
              <w:textAlignment w:val="auto"/>
              <w:outlineLvl w:val="9"/>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第一个信封（商务及技术文件）评审标准： </w:t>
            </w:r>
          </w:p>
          <w:p>
            <w:pPr>
              <w:pStyle w:val="6"/>
              <w:keepNext w:val="0"/>
              <w:keepLines w:val="0"/>
              <w:pageBreakBefore w:val="0"/>
              <w:widowControl w:val="0"/>
              <w:kinsoku/>
              <w:wordWrap/>
              <w:overflowPunct/>
              <w:topLinePunct w:val="0"/>
              <w:autoSpaceDE/>
              <w:autoSpaceDN/>
              <w:bidi w:val="0"/>
              <w:adjustRightInd/>
              <w:snapToGrid/>
              <w:spacing w:before="91" w:beforeLines="0" w:after="0" w:afterLines="0" w:line="380" w:lineRule="exact"/>
              <w:ind w:left="107" w:right="93" w:firstLine="420"/>
              <w:textAlignment w:val="auto"/>
              <w:outlineLvl w:val="9"/>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（1）投标文件按照招标文件规定的格式、内容填写，字迹清晰可辨：</w:t>
            </w:r>
          </w:p>
          <w:p>
            <w:pPr>
              <w:pStyle w:val="6"/>
              <w:keepNext w:val="0"/>
              <w:keepLines w:val="0"/>
              <w:pageBreakBefore w:val="0"/>
              <w:widowControl w:val="0"/>
              <w:kinsoku/>
              <w:wordWrap/>
              <w:overflowPunct/>
              <w:topLinePunct w:val="0"/>
              <w:autoSpaceDE/>
              <w:autoSpaceDN/>
              <w:bidi w:val="0"/>
              <w:adjustRightInd/>
              <w:snapToGrid/>
              <w:spacing w:after="0" w:afterLines="0" w:line="380" w:lineRule="exact"/>
              <w:ind w:left="107" w:right="93" w:firstLine="420"/>
              <w:textAlignment w:val="auto"/>
              <w:outlineLvl w:val="9"/>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a.</w:t>
            </w:r>
            <w:r>
              <w:rPr>
                <w:rFonts w:hint="eastAsia" w:ascii="仿宋" w:hAnsi="仿宋" w:eastAsia="仿宋" w:cs="仿宋"/>
                <w:color w:val="000000"/>
                <w:spacing w:val="-15"/>
                <w:sz w:val="24"/>
                <w:szCs w:val="24"/>
                <w:highlight w:val="none"/>
              </w:rPr>
              <w:t>投标函按招标文件规定填报了项目名称、标段号、补遗书编号</w:t>
            </w:r>
            <w:r>
              <w:rPr>
                <w:rFonts w:hint="eastAsia" w:ascii="仿宋" w:hAnsi="仿宋" w:eastAsia="仿宋" w:cs="仿宋"/>
                <w:color w:val="000000"/>
                <w:sz w:val="24"/>
                <w:szCs w:val="24"/>
                <w:highlight w:val="none"/>
              </w:rPr>
              <w:t>（如有</w:t>
            </w:r>
            <w:r>
              <w:rPr>
                <w:rFonts w:hint="eastAsia" w:ascii="仿宋" w:hAnsi="仿宋" w:eastAsia="仿宋" w:cs="仿宋"/>
                <w:color w:val="000000"/>
                <w:spacing w:val="-106"/>
                <w:sz w:val="24"/>
                <w:szCs w:val="24"/>
                <w:highlight w:val="none"/>
              </w:rPr>
              <w:t>）</w:t>
            </w:r>
            <w:r>
              <w:rPr>
                <w:rFonts w:hint="eastAsia" w:ascii="仿宋" w:hAnsi="仿宋" w:eastAsia="仿宋" w:cs="仿宋"/>
                <w:color w:val="000000"/>
                <w:spacing w:val="-3"/>
                <w:sz w:val="24"/>
                <w:szCs w:val="24"/>
                <w:highlight w:val="none"/>
              </w:rPr>
              <w:t>、工期、工程质量要求及安全目标；</w:t>
            </w:r>
          </w:p>
          <w:p>
            <w:pPr>
              <w:pStyle w:val="6"/>
              <w:keepNext w:val="0"/>
              <w:keepLines w:val="0"/>
              <w:pageBreakBefore w:val="0"/>
              <w:widowControl w:val="0"/>
              <w:kinsoku/>
              <w:wordWrap/>
              <w:overflowPunct/>
              <w:topLinePunct w:val="0"/>
              <w:autoSpaceDE/>
              <w:autoSpaceDN/>
              <w:bidi w:val="0"/>
              <w:adjustRightInd/>
              <w:snapToGrid/>
              <w:spacing w:before="90" w:beforeLines="0" w:after="0" w:afterLines="0" w:line="380" w:lineRule="exact"/>
              <w:ind w:left="108" w:right="90" w:firstLine="420"/>
              <w:jc w:val="both"/>
              <w:textAlignment w:val="auto"/>
              <w:outlineLvl w:val="9"/>
              <w:rPr>
                <w:rFonts w:hint="eastAsia" w:ascii="仿宋" w:hAnsi="仿宋" w:eastAsia="仿宋" w:cs="仿宋"/>
                <w:color w:val="000000"/>
                <w:spacing w:val="-7"/>
                <w:sz w:val="24"/>
                <w:szCs w:val="24"/>
                <w:highlight w:val="none"/>
              </w:rPr>
            </w:pPr>
            <w:r>
              <w:rPr>
                <w:rFonts w:hint="eastAsia" w:ascii="仿宋" w:hAnsi="仿宋" w:eastAsia="仿宋" w:cs="仿宋"/>
                <w:color w:val="000000"/>
                <w:sz w:val="24"/>
                <w:szCs w:val="24"/>
                <w:highlight w:val="none"/>
              </w:rPr>
              <w:t>b</w:t>
            </w:r>
            <w:r>
              <w:rPr>
                <w:rFonts w:hint="eastAsia" w:ascii="仿宋" w:hAnsi="仿宋" w:eastAsia="仿宋" w:cs="仿宋"/>
                <w:color w:val="000000"/>
                <w:spacing w:val="-7"/>
                <w:sz w:val="24"/>
                <w:szCs w:val="24"/>
                <w:highlight w:val="none"/>
              </w:rPr>
              <w:t>.投标函附录的所有数据均符合招标文件规定；</w:t>
            </w:r>
          </w:p>
          <w:p>
            <w:pPr>
              <w:pStyle w:val="6"/>
              <w:keepNext w:val="0"/>
              <w:keepLines w:val="0"/>
              <w:pageBreakBefore w:val="0"/>
              <w:widowControl w:val="0"/>
              <w:kinsoku/>
              <w:wordWrap/>
              <w:overflowPunct/>
              <w:topLinePunct w:val="0"/>
              <w:autoSpaceDE/>
              <w:autoSpaceDN/>
              <w:bidi w:val="0"/>
              <w:adjustRightInd/>
              <w:snapToGrid/>
              <w:spacing w:before="90" w:beforeLines="0" w:after="0" w:afterLines="0" w:line="380" w:lineRule="exact"/>
              <w:ind w:left="108" w:right="90" w:firstLine="420"/>
              <w:jc w:val="both"/>
              <w:textAlignment w:val="auto"/>
              <w:outlineLvl w:val="9"/>
              <w:rPr>
                <w:rFonts w:hint="eastAsia" w:ascii="仿宋" w:hAnsi="仿宋" w:eastAsia="仿宋" w:cs="仿宋"/>
                <w:color w:val="000000"/>
                <w:spacing w:val="-7"/>
                <w:sz w:val="24"/>
                <w:szCs w:val="24"/>
                <w:highlight w:val="none"/>
              </w:rPr>
            </w:pPr>
            <w:r>
              <w:rPr>
                <w:rFonts w:hint="eastAsia" w:ascii="仿宋" w:hAnsi="仿宋" w:eastAsia="仿宋" w:cs="仿宋"/>
                <w:color w:val="000000"/>
                <w:spacing w:val="-7"/>
                <w:sz w:val="24"/>
                <w:szCs w:val="24"/>
                <w:highlight w:val="none"/>
              </w:rPr>
              <w:t>c.投标文件组成齐全完整，内容均按规定填写。</w:t>
            </w:r>
          </w:p>
          <w:p>
            <w:pPr>
              <w:pStyle w:val="6"/>
              <w:keepNext w:val="0"/>
              <w:keepLines w:val="0"/>
              <w:pageBreakBefore w:val="0"/>
              <w:widowControl w:val="0"/>
              <w:kinsoku/>
              <w:wordWrap/>
              <w:overflowPunct/>
              <w:topLinePunct w:val="0"/>
              <w:autoSpaceDE/>
              <w:autoSpaceDN/>
              <w:bidi w:val="0"/>
              <w:adjustRightInd/>
              <w:snapToGrid/>
              <w:spacing w:before="90" w:beforeLines="0" w:after="0" w:afterLines="0" w:line="380" w:lineRule="exact"/>
              <w:ind w:left="108" w:right="90" w:firstLine="420"/>
              <w:jc w:val="both"/>
              <w:textAlignment w:val="auto"/>
              <w:outlineLvl w:val="9"/>
              <w:rPr>
                <w:rFonts w:hint="eastAsia" w:ascii="仿宋" w:hAnsi="仿宋" w:eastAsia="仿宋" w:cs="仿宋"/>
                <w:color w:val="000000"/>
                <w:spacing w:val="-7"/>
                <w:sz w:val="24"/>
                <w:szCs w:val="24"/>
                <w:highlight w:val="none"/>
              </w:rPr>
            </w:pPr>
            <w:r>
              <w:rPr>
                <w:rFonts w:hint="eastAsia" w:ascii="仿宋" w:hAnsi="仿宋" w:eastAsia="仿宋" w:cs="仿宋"/>
                <w:color w:val="000000"/>
                <w:spacing w:val="-7"/>
                <w:sz w:val="24"/>
                <w:szCs w:val="24"/>
                <w:highlight w:val="none"/>
              </w:rPr>
              <w:t>（2）投标文件上法定代表人或其委托代理人的签字、投标人的单位章盖章齐全，符合招标文件投标人须知3.7.3的规定。</w:t>
            </w:r>
          </w:p>
          <w:p>
            <w:pPr>
              <w:pStyle w:val="6"/>
              <w:keepNext w:val="0"/>
              <w:keepLines w:val="0"/>
              <w:pageBreakBefore w:val="0"/>
              <w:widowControl w:val="0"/>
              <w:kinsoku/>
              <w:wordWrap/>
              <w:overflowPunct/>
              <w:topLinePunct w:val="0"/>
              <w:autoSpaceDE/>
              <w:autoSpaceDN/>
              <w:bidi w:val="0"/>
              <w:adjustRightInd/>
              <w:snapToGrid/>
              <w:spacing w:before="90" w:beforeLines="0" w:after="0" w:afterLines="0" w:line="380" w:lineRule="exact"/>
              <w:ind w:right="90"/>
              <w:jc w:val="both"/>
              <w:textAlignment w:val="auto"/>
              <w:outlineLvl w:val="9"/>
              <w:rPr>
                <w:rFonts w:hint="eastAsia" w:ascii="仿宋" w:hAnsi="仿宋" w:eastAsia="仿宋" w:cs="仿宋"/>
                <w:color w:val="000000"/>
                <w:spacing w:val="-7"/>
                <w:sz w:val="24"/>
                <w:szCs w:val="24"/>
                <w:highlight w:val="none"/>
              </w:rPr>
            </w:pPr>
            <w:r>
              <w:rPr>
                <w:rFonts w:hint="eastAsia" w:ascii="仿宋" w:hAnsi="仿宋" w:eastAsia="仿宋" w:cs="仿宋"/>
                <w:color w:val="000000"/>
                <w:spacing w:val="-7"/>
                <w:sz w:val="24"/>
                <w:szCs w:val="24"/>
                <w:highlight w:val="none"/>
                <w:lang w:val="en-US" w:eastAsia="zh-CN"/>
              </w:rPr>
              <w:t xml:space="preserve">     </w:t>
            </w:r>
            <w:r>
              <w:rPr>
                <w:rFonts w:hint="eastAsia" w:ascii="仿宋" w:hAnsi="仿宋" w:eastAsia="仿宋" w:cs="仿宋"/>
                <w:color w:val="000000"/>
                <w:spacing w:val="-7"/>
                <w:sz w:val="24"/>
                <w:szCs w:val="24"/>
                <w:highlight w:val="none"/>
              </w:rPr>
              <w:t>（</w:t>
            </w:r>
            <w:r>
              <w:rPr>
                <w:rFonts w:hint="eastAsia" w:ascii="仿宋" w:hAnsi="仿宋" w:eastAsia="仿宋" w:cs="仿宋"/>
                <w:color w:val="000000"/>
                <w:spacing w:val="-7"/>
                <w:sz w:val="24"/>
                <w:szCs w:val="24"/>
                <w:highlight w:val="none"/>
                <w:lang w:val="en-US" w:eastAsia="zh-CN"/>
              </w:rPr>
              <w:t>3</w:t>
            </w:r>
            <w:r>
              <w:rPr>
                <w:rFonts w:hint="eastAsia" w:ascii="仿宋" w:hAnsi="仿宋" w:eastAsia="仿宋" w:cs="仿宋"/>
                <w:color w:val="000000"/>
                <w:spacing w:val="-7"/>
                <w:sz w:val="24"/>
                <w:szCs w:val="24"/>
                <w:highlight w:val="none"/>
              </w:rPr>
              <w:t>）投标人按照招标文件的规定提供了投标保证金：</w:t>
            </w:r>
          </w:p>
          <w:p>
            <w:pPr>
              <w:pStyle w:val="6"/>
              <w:keepNext w:val="0"/>
              <w:keepLines w:val="0"/>
              <w:pageBreakBefore w:val="0"/>
              <w:widowControl w:val="0"/>
              <w:kinsoku/>
              <w:wordWrap/>
              <w:overflowPunct/>
              <w:topLinePunct w:val="0"/>
              <w:autoSpaceDE/>
              <w:autoSpaceDN/>
              <w:bidi w:val="0"/>
              <w:adjustRightInd/>
              <w:snapToGrid/>
              <w:spacing w:before="90" w:beforeLines="0" w:after="0" w:afterLines="0" w:line="380" w:lineRule="exact"/>
              <w:ind w:right="90"/>
              <w:jc w:val="both"/>
              <w:textAlignment w:val="auto"/>
              <w:outlineLvl w:val="9"/>
              <w:rPr>
                <w:rFonts w:hint="eastAsia" w:ascii="仿宋" w:hAnsi="仿宋" w:eastAsia="仿宋" w:cs="仿宋"/>
                <w:color w:val="000000"/>
                <w:spacing w:val="-7"/>
                <w:sz w:val="24"/>
                <w:szCs w:val="24"/>
                <w:highlight w:val="none"/>
              </w:rPr>
            </w:pPr>
            <w:r>
              <w:rPr>
                <w:rFonts w:hint="eastAsia" w:ascii="仿宋" w:hAnsi="仿宋" w:eastAsia="仿宋" w:cs="仿宋"/>
                <w:color w:val="000000"/>
                <w:spacing w:val="-7"/>
                <w:sz w:val="24"/>
                <w:szCs w:val="24"/>
                <w:highlight w:val="none"/>
                <w:lang w:val="en-US" w:eastAsia="zh-CN"/>
              </w:rPr>
              <w:t xml:space="preserve">     </w:t>
            </w:r>
            <w:r>
              <w:rPr>
                <w:rFonts w:hint="eastAsia" w:ascii="仿宋" w:hAnsi="仿宋" w:eastAsia="仿宋" w:cs="仿宋"/>
                <w:color w:val="000000"/>
                <w:spacing w:val="-7"/>
                <w:sz w:val="24"/>
                <w:szCs w:val="24"/>
                <w:highlight w:val="none"/>
              </w:rPr>
              <w:t>a.投标保证金金额符合招标文件规定的金额，且投标保证金有效期不少于投标有效期；</w:t>
            </w:r>
          </w:p>
          <w:p>
            <w:pPr>
              <w:pStyle w:val="6"/>
              <w:keepNext w:val="0"/>
              <w:keepLines w:val="0"/>
              <w:pageBreakBefore w:val="0"/>
              <w:widowControl w:val="0"/>
              <w:kinsoku/>
              <w:wordWrap/>
              <w:overflowPunct/>
              <w:topLinePunct w:val="0"/>
              <w:autoSpaceDE/>
              <w:autoSpaceDN/>
              <w:bidi w:val="0"/>
              <w:adjustRightInd/>
              <w:snapToGrid/>
              <w:spacing w:before="90" w:beforeLines="0" w:after="0" w:afterLines="0" w:line="380" w:lineRule="exact"/>
              <w:ind w:left="108" w:right="90" w:firstLine="420"/>
              <w:jc w:val="both"/>
              <w:textAlignment w:val="auto"/>
              <w:outlineLvl w:val="9"/>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b.</w:t>
            </w:r>
            <w:r>
              <w:rPr>
                <w:rFonts w:hint="eastAsia" w:ascii="仿宋" w:hAnsi="仿宋" w:eastAsia="仿宋" w:cs="仿宋"/>
                <w:color w:val="000000"/>
                <w:spacing w:val="-7"/>
                <w:sz w:val="24"/>
                <w:szCs w:val="24"/>
                <w:highlight w:val="none"/>
              </w:rPr>
              <w:t>若投标保证金采用现金或支票形式提交，投标人应在</w:t>
            </w:r>
            <w:r>
              <w:rPr>
                <w:rFonts w:hint="eastAsia" w:ascii="仿宋" w:hAnsi="仿宋" w:eastAsia="仿宋" w:cs="仿宋"/>
                <w:color w:val="000000"/>
                <w:spacing w:val="-7"/>
                <w:sz w:val="24"/>
                <w:szCs w:val="24"/>
                <w:highlight w:val="none"/>
                <w:lang w:val="en-US" w:eastAsia="zh-CN"/>
              </w:rPr>
              <w:t>投标人须知3.4.1款规定的时间</w:t>
            </w:r>
            <w:r>
              <w:rPr>
                <w:rFonts w:hint="eastAsia" w:ascii="仿宋" w:hAnsi="仿宋" w:eastAsia="仿宋" w:cs="仿宋"/>
                <w:color w:val="000000"/>
                <w:spacing w:val="-7"/>
                <w:sz w:val="24"/>
                <w:szCs w:val="24"/>
                <w:highlight w:val="none"/>
              </w:rPr>
              <w:t>，将投标保证金由投标人的基本账户转入招标人指定账户；</w:t>
            </w:r>
          </w:p>
          <w:p>
            <w:pPr>
              <w:pStyle w:val="6"/>
              <w:keepNext w:val="0"/>
              <w:keepLines w:val="0"/>
              <w:pageBreakBefore w:val="0"/>
              <w:widowControl w:val="0"/>
              <w:kinsoku/>
              <w:wordWrap/>
              <w:overflowPunct/>
              <w:topLinePunct w:val="0"/>
              <w:autoSpaceDE/>
              <w:autoSpaceDN/>
              <w:bidi w:val="0"/>
              <w:adjustRightInd/>
              <w:snapToGrid/>
              <w:spacing w:after="0" w:afterLines="0" w:line="380" w:lineRule="exact"/>
              <w:ind w:left="108" w:right="90" w:firstLine="384"/>
              <w:jc w:val="both"/>
              <w:textAlignment w:val="auto"/>
              <w:outlineLvl w:val="9"/>
              <w:rPr>
                <w:rFonts w:hint="eastAsia" w:ascii="仿宋" w:hAnsi="仿宋" w:eastAsia="仿宋" w:cs="仿宋"/>
                <w:sz w:val="24"/>
                <w:szCs w:val="24"/>
                <w:highlight w:val="none"/>
              </w:rPr>
            </w:pPr>
            <w:r>
              <w:rPr>
                <w:rFonts w:hint="eastAsia" w:ascii="仿宋" w:hAnsi="仿宋" w:eastAsia="仿宋" w:cs="仿宋"/>
                <w:color w:val="000000"/>
                <w:sz w:val="24"/>
                <w:szCs w:val="24"/>
                <w:highlight w:val="none"/>
              </w:rPr>
              <w:t>c.</w:t>
            </w:r>
            <w:r>
              <w:rPr>
                <w:rFonts w:hint="eastAsia" w:ascii="仿宋" w:hAnsi="仿宋" w:eastAsia="仿宋" w:cs="仿宋"/>
                <w:color w:val="000000"/>
                <w:spacing w:val="-5"/>
                <w:sz w:val="24"/>
                <w:szCs w:val="24"/>
                <w:highlight w:val="none"/>
              </w:rPr>
              <w:t>若投</w:t>
            </w:r>
            <w:r>
              <w:rPr>
                <w:rFonts w:hint="eastAsia" w:ascii="仿宋" w:hAnsi="仿宋" w:eastAsia="仿宋" w:cs="仿宋"/>
                <w:spacing w:val="-5"/>
                <w:sz w:val="24"/>
                <w:szCs w:val="24"/>
                <w:highlight w:val="none"/>
              </w:rPr>
              <w:t>标保证金采用银行保函形式提交，银行保函的格式、开具保函的银行均满足招标文件要求，</w:t>
            </w:r>
            <w:r>
              <w:rPr>
                <w:rFonts w:hint="eastAsia" w:ascii="仿宋" w:hAnsi="仿宋" w:eastAsia="仿宋" w:cs="仿宋"/>
                <w:spacing w:val="-5"/>
                <w:sz w:val="24"/>
                <w:szCs w:val="24"/>
                <w:highlight w:val="none"/>
                <w:lang w:val="en-US" w:eastAsia="zh-CN"/>
              </w:rPr>
              <w:t>银行保函原件在递交投标文件时单独密封递交</w:t>
            </w:r>
            <w:r>
              <w:rPr>
                <w:rFonts w:hint="eastAsia" w:ascii="仿宋" w:hAnsi="仿宋" w:eastAsia="仿宋" w:cs="仿宋"/>
                <w:spacing w:val="-4"/>
                <w:sz w:val="24"/>
                <w:szCs w:val="24"/>
                <w:highlight w:val="none"/>
                <w:lang w:eastAsia="zh-CN"/>
              </w:rPr>
              <w:t>，</w:t>
            </w:r>
            <w:r>
              <w:rPr>
                <w:rFonts w:hint="eastAsia" w:ascii="仿宋" w:hAnsi="仿宋" w:eastAsia="仿宋" w:cs="仿宋"/>
                <w:spacing w:val="-4"/>
                <w:sz w:val="24"/>
                <w:szCs w:val="24"/>
                <w:highlight w:val="none"/>
                <w:lang w:val="en-US" w:eastAsia="zh-CN"/>
              </w:rPr>
              <w:t>其复印件装订在投标文件中。</w:t>
            </w:r>
          </w:p>
          <w:p>
            <w:pPr>
              <w:keepNext w:val="0"/>
              <w:keepLines w:val="0"/>
              <w:pageBreakBefore w:val="0"/>
              <w:widowControl w:val="0"/>
              <w:numPr>
                <w:ilvl w:val="0"/>
                <w:numId w:val="0"/>
              </w:numPr>
              <w:kinsoku/>
              <w:wordWrap/>
              <w:overflowPunct/>
              <w:topLinePunct w:val="0"/>
              <w:autoSpaceDE/>
              <w:autoSpaceDN/>
              <w:bidi w:val="0"/>
              <w:adjustRightInd/>
              <w:snapToGrid/>
              <w:spacing w:after="0" w:afterLines="0" w:line="380" w:lineRule="exact"/>
              <w:jc w:val="left"/>
              <w:textAlignment w:val="auto"/>
              <w:outlineLvl w:val="9"/>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 xml:space="preserve">    （4）</w:t>
            </w:r>
            <w:r>
              <w:rPr>
                <w:rFonts w:hint="eastAsia" w:ascii="仿宋" w:hAnsi="仿宋" w:eastAsia="仿宋" w:cs="仿宋"/>
                <w:sz w:val="24"/>
                <w:szCs w:val="24"/>
                <w:highlight w:val="none"/>
              </w:rPr>
              <w:t>投标人法定代表人授权委托代理人签署投标文件的，须提交授权委托书，且授权人和被授权人均在授权委托书上签名，未使用印章、签名章或其他电子制版签名代替。</w:t>
            </w:r>
          </w:p>
          <w:p>
            <w:pPr>
              <w:pStyle w:val="6"/>
              <w:keepNext w:val="0"/>
              <w:keepLines w:val="0"/>
              <w:pageBreakBefore w:val="0"/>
              <w:widowControl w:val="0"/>
              <w:kinsoku/>
              <w:wordWrap/>
              <w:overflowPunct/>
              <w:topLinePunct w:val="0"/>
              <w:autoSpaceDE/>
              <w:autoSpaceDN/>
              <w:bidi w:val="0"/>
              <w:adjustRightInd/>
              <w:snapToGrid/>
              <w:spacing w:after="0" w:afterLines="0" w:line="380" w:lineRule="exact"/>
              <w:ind w:left="108" w:right="-15" w:firstLine="384"/>
              <w:textAlignment w:val="auto"/>
              <w:outlineLvl w:val="9"/>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w:t>
            </w:r>
            <w:r>
              <w:rPr>
                <w:rFonts w:hint="eastAsia" w:ascii="仿宋" w:hAnsi="仿宋" w:eastAsia="仿宋" w:cs="仿宋"/>
                <w:spacing w:val="-2"/>
                <w:sz w:val="24"/>
                <w:szCs w:val="24"/>
                <w:highlight w:val="none"/>
              </w:rPr>
              <w:t>投标人法定代表人亲自签署投标文件的，提供了法定代表人</w:t>
            </w:r>
            <w:r>
              <w:rPr>
                <w:rFonts w:hint="eastAsia" w:ascii="仿宋" w:hAnsi="仿宋" w:eastAsia="仿宋" w:cs="仿宋"/>
                <w:spacing w:val="-5"/>
                <w:sz w:val="24"/>
                <w:szCs w:val="24"/>
                <w:highlight w:val="none"/>
              </w:rPr>
              <w:t>身份证明，且法定代表人在法定代表人身份证明上签名，未使用印章、</w:t>
            </w:r>
            <w:r>
              <w:rPr>
                <w:rFonts w:hint="eastAsia" w:ascii="仿宋" w:hAnsi="仿宋" w:eastAsia="仿宋" w:cs="仿宋"/>
                <w:spacing w:val="-4"/>
                <w:sz w:val="24"/>
                <w:szCs w:val="24"/>
                <w:highlight w:val="none"/>
              </w:rPr>
              <w:t>签名章或其他电子制版签名代替。</w:t>
            </w:r>
          </w:p>
          <w:p>
            <w:pPr>
              <w:pStyle w:val="6"/>
              <w:keepNext w:val="0"/>
              <w:keepLines w:val="0"/>
              <w:pageBreakBefore w:val="0"/>
              <w:widowControl w:val="0"/>
              <w:kinsoku/>
              <w:wordWrap/>
              <w:overflowPunct/>
              <w:topLinePunct w:val="0"/>
              <w:autoSpaceDE/>
              <w:autoSpaceDN/>
              <w:bidi w:val="0"/>
              <w:adjustRightInd/>
              <w:snapToGrid/>
              <w:spacing w:after="0" w:afterLines="0" w:line="380" w:lineRule="exact"/>
              <w:ind w:left="492"/>
              <w:textAlignment w:val="auto"/>
              <w:outlineLvl w:val="9"/>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6</w:t>
            </w:r>
            <w:r>
              <w:rPr>
                <w:rFonts w:hint="eastAsia" w:ascii="仿宋" w:hAnsi="仿宋" w:eastAsia="仿宋" w:cs="仿宋"/>
                <w:sz w:val="24"/>
                <w:szCs w:val="24"/>
                <w:highlight w:val="none"/>
              </w:rPr>
              <w:t>）投标人以联合体形式投标时，联合体满足招标文件的要求</w:t>
            </w:r>
            <w:r>
              <w:rPr>
                <w:rFonts w:hint="eastAsia" w:ascii="仿宋" w:hAnsi="仿宋" w:eastAsia="仿宋" w:cs="仿宋"/>
                <w:sz w:val="24"/>
                <w:szCs w:val="24"/>
                <w:highlight w:val="none"/>
                <w:lang w:eastAsia="zh-CN"/>
              </w:rPr>
              <w:t>（不适用）</w:t>
            </w:r>
            <w:r>
              <w:rPr>
                <w:rFonts w:hint="eastAsia" w:ascii="仿宋" w:hAnsi="仿宋" w:eastAsia="仿宋" w:cs="仿宋"/>
                <w:sz w:val="24"/>
                <w:szCs w:val="24"/>
                <w:highlight w:val="none"/>
              </w:rPr>
              <w:t>：</w:t>
            </w:r>
          </w:p>
          <w:p>
            <w:pPr>
              <w:keepNext w:val="0"/>
              <w:keepLines w:val="0"/>
              <w:pageBreakBefore w:val="0"/>
              <w:widowControl w:val="0"/>
              <w:kinsoku/>
              <w:wordWrap/>
              <w:overflowPunct/>
              <w:topLinePunct w:val="0"/>
              <w:autoSpaceDE/>
              <w:autoSpaceDN/>
              <w:bidi w:val="0"/>
              <w:adjustRightInd/>
              <w:snapToGrid/>
              <w:spacing w:after="0" w:afterLines="0" w:line="380" w:lineRule="exact"/>
              <w:ind w:firstLine="120" w:firstLineChars="50"/>
              <w:textAlignment w:val="auto"/>
              <w:outlineLvl w:val="9"/>
              <w:rPr>
                <w:rFonts w:hint="eastAsia" w:ascii="仿宋" w:hAnsi="仿宋" w:eastAsia="仿宋" w:cs="仿宋"/>
                <w:color w:val="auto"/>
                <w:kern w:val="0"/>
                <w:sz w:val="24"/>
                <w:szCs w:val="24"/>
                <w:highlight w:val="none"/>
              </w:rPr>
            </w:pP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rPr>
              <w:t>a.未进行资格预审的，投标人按照招标文件提供的格式签订了联合体协议书，明确各方承担连带责任，并明确了联合体牵头人；</w:t>
            </w:r>
          </w:p>
          <w:p>
            <w:pPr>
              <w:pStyle w:val="6"/>
              <w:keepNext w:val="0"/>
              <w:keepLines w:val="0"/>
              <w:pageBreakBefore w:val="0"/>
              <w:widowControl w:val="0"/>
              <w:kinsoku/>
              <w:wordWrap/>
              <w:overflowPunct/>
              <w:topLinePunct w:val="0"/>
              <w:autoSpaceDE/>
              <w:autoSpaceDN/>
              <w:bidi w:val="0"/>
              <w:adjustRightInd/>
              <w:snapToGrid/>
              <w:spacing w:after="0" w:afterLines="0" w:line="380" w:lineRule="exact"/>
              <w:ind w:left="108" w:right="90" w:firstLine="384"/>
              <w:jc w:val="both"/>
              <w:textAlignment w:val="auto"/>
              <w:outlineLvl w:val="9"/>
              <w:rPr>
                <w:rFonts w:hint="eastAsia" w:ascii="仿宋" w:hAnsi="仿宋" w:eastAsia="仿宋" w:cs="仿宋"/>
                <w:sz w:val="24"/>
                <w:szCs w:val="24"/>
                <w:highlight w:val="none"/>
              </w:rPr>
            </w:pPr>
            <w:r>
              <w:rPr>
                <w:rFonts w:hint="eastAsia" w:ascii="仿宋" w:hAnsi="仿宋" w:eastAsia="仿宋" w:cs="仿宋"/>
                <w:sz w:val="24"/>
                <w:szCs w:val="24"/>
                <w:highlight w:val="none"/>
              </w:rPr>
              <w:t>b.</w:t>
            </w:r>
            <w:r>
              <w:rPr>
                <w:rFonts w:hint="eastAsia" w:ascii="仿宋" w:hAnsi="仿宋" w:eastAsia="仿宋" w:cs="仿宋"/>
                <w:spacing w:val="-6"/>
                <w:sz w:val="24"/>
                <w:szCs w:val="24"/>
                <w:highlight w:val="none"/>
              </w:rPr>
              <w:t>已进行资格预审的，投标人提供了资格预审申请文件中所附的联合体协议书复印件，且通过资格预审后的联合体无成员增减或更换的情况。</w:t>
            </w:r>
          </w:p>
          <w:p>
            <w:pPr>
              <w:keepNext w:val="0"/>
              <w:keepLines w:val="0"/>
              <w:pageBreakBefore w:val="0"/>
              <w:widowControl w:val="0"/>
              <w:kinsoku/>
              <w:wordWrap/>
              <w:overflowPunct/>
              <w:topLinePunct w:val="0"/>
              <w:autoSpaceDE/>
              <w:autoSpaceDN/>
              <w:bidi w:val="0"/>
              <w:adjustRightInd/>
              <w:snapToGrid/>
              <w:spacing w:after="0" w:afterLines="0" w:line="380" w:lineRule="exact"/>
              <w:ind w:firstLine="120" w:firstLineChars="50"/>
              <w:textAlignment w:val="auto"/>
              <w:outlineLvl w:val="9"/>
              <w:rPr>
                <w:rFonts w:hint="eastAsia" w:ascii="仿宋" w:hAnsi="仿宋" w:eastAsia="仿宋" w:cs="仿宋"/>
                <w:color w:val="auto"/>
                <w:kern w:val="0"/>
                <w:sz w:val="24"/>
                <w:szCs w:val="24"/>
                <w:highlight w:val="none"/>
              </w:rPr>
            </w:pP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7</w:t>
            </w:r>
            <w:r>
              <w:rPr>
                <w:rFonts w:hint="eastAsia" w:ascii="仿宋" w:hAnsi="仿宋" w:eastAsia="仿宋" w:cs="仿宋"/>
                <w:sz w:val="24"/>
                <w:szCs w:val="24"/>
                <w:highlight w:val="none"/>
              </w:rPr>
              <w:t>）投标人如有分包计划，符合招标文件第二章“投标人须知” 第 1.11 款规定，且按招标文件第九章“投标文件格式”的要求填写了“拟分包项目情况表”</w:t>
            </w:r>
            <w:r>
              <w:rPr>
                <w:rFonts w:hint="eastAsia" w:ascii="仿宋" w:hAnsi="仿宋" w:eastAsia="仿宋" w:cs="仿宋"/>
                <w:sz w:val="24"/>
                <w:szCs w:val="24"/>
                <w:highlight w:val="none"/>
                <w:lang w:eastAsia="zh-CN"/>
              </w:rPr>
              <w:t>。</w:t>
            </w:r>
          </w:p>
          <w:p>
            <w:pPr>
              <w:pStyle w:val="6"/>
              <w:keepNext w:val="0"/>
              <w:keepLines w:val="0"/>
              <w:pageBreakBefore w:val="0"/>
              <w:widowControl w:val="0"/>
              <w:kinsoku/>
              <w:wordWrap/>
              <w:overflowPunct/>
              <w:topLinePunct w:val="0"/>
              <w:autoSpaceDE/>
              <w:autoSpaceDN/>
              <w:bidi w:val="0"/>
              <w:adjustRightInd/>
              <w:snapToGrid/>
              <w:spacing w:before="88" w:beforeLines="0" w:after="0" w:afterLines="0" w:line="380" w:lineRule="exact"/>
              <w:ind w:left="108" w:right="91" w:firstLine="384"/>
              <w:textAlignment w:val="auto"/>
              <w:outlineLvl w:val="9"/>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8</w:t>
            </w:r>
            <w:r>
              <w:rPr>
                <w:rFonts w:hint="eastAsia" w:ascii="仿宋" w:hAnsi="仿宋" w:eastAsia="仿宋" w:cs="仿宋"/>
                <w:sz w:val="24"/>
                <w:szCs w:val="24"/>
                <w:highlight w:val="none"/>
              </w:rPr>
              <w:t>）同一投标人未提交两个以上不同的投标文件，但招标文件要求提交备选投标的除外。</w:t>
            </w:r>
          </w:p>
          <w:p>
            <w:pPr>
              <w:pStyle w:val="6"/>
              <w:keepNext w:val="0"/>
              <w:keepLines w:val="0"/>
              <w:pageBreakBefore w:val="0"/>
              <w:widowControl w:val="0"/>
              <w:kinsoku/>
              <w:wordWrap/>
              <w:overflowPunct/>
              <w:topLinePunct w:val="0"/>
              <w:autoSpaceDE/>
              <w:autoSpaceDN/>
              <w:bidi w:val="0"/>
              <w:adjustRightInd/>
              <w:snapToGrid/>
              <w:spacing w:after="0" w:afterLines="0" w:line="380" w:lineRule="exact"/>
              <w:ind w:left="492"/>
              <w:textAlignment w:val="auto"/>
              <w:outlineLvl w:val="9"/>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9</w:t>
            </w:r>
            <w:r>
              <w:rPr>
                <w:rFonts w:hint="eastAsia" w:ascii="仿宋" w:hAnsi="仿宋" w:eastAsia="仿宋" w:cs="仿宋"/>
                <w:sz w:val="24"/>
                <w:szCs w:val="24"/>
                <w:highlight w:val="none"/>
              </w:rPr>
              <w:t>）投标文件中未出现有关投标报价的内容。</w:t>
            </w:r>
          </w:p>
          <w:p>
            <w:pPr>
              <w:pStyle w:val="6"/>
              <w:keepNext w:val="0"/>
              <w:keepLines w:val="0"/>
              <w:pageBreakBefore w:val="0"/>
              <w:widowControl w:val="0"/>
              <w:kinsoku/>
              <w:wordWrap/>
              <w:overflowPunct/>
              <w:topLinePunct w:val="0"/>
              <w:autoSpaceDE/>
              <w:autoSpaceDN/>
              <w:bidi w:val="0"/>
              <w:adjustRightInd/>
              <w:snapToGrid/>
              <w:spacing w:before="91" w:beforeLines="0" w:after="0" w:afterLines="0" w:line="380" w:lineRule="exact"/>
              <w:ind w:left="108" w:right="14" w:firstLine="384"/>
              <w:textAlignment w:val="auto"/>
              <w:outlineLvl w:val="9"/>
              <w:rPr>
                <w:rFonts w:hint="eastAsia" w:ascii="仿宋" w:hAnsi="仿宋" w:eastAsia="仿宋" w:cs="仿宋"/>
                <w:color w:val="auto"/>
                <w:kern w:val="0"/>
                <w:sz w:val="24"/>
                <w:szCs w:val="24"/>
                <w:highlight w:val="none"/>
              </w:rPr>
            </w:pPr>
            <w:r>
              <w:rPr>
                <w:rFonts w:hint="eastAsia" w:ascii="仿宋" w:hAnsi="仿宋" w:eastAsia="仿宋" w:cs="仿宋"/>
                <w:sz w:val="24"/>
                <w:szCs w:val="24"/>
                <w:highlight w:val="none"/>
              </w:rPr>
              <w:t>（1</w:t>
            </w:r>
            <w:r>
              <w:rPr>
                <w:rFonts w:hint="eastAsia" w:ascii="仿宋" w:hAnsi="仿宋" w:eastAsia="仿宋" w:cs="仿宋"/>
                <w:sz w:val="24"/>
                <w:szCs w:val="24"/>
                <w:highlight w:val="none"/>
                <w:lang w:val="en-US" w:eastAsia="zh-CN"/>
              </w:rPr>
              <w:t>0</w:t>
            </w:r>
            <w:r>
              <w:rPr>
                <w:rFonts w:hint="eastAsia" w:ascii="仿宋" w:hAnsi="仿宋" w:eastAsia="仿宋" w:cs="仿宋"/>
                <w:sz w:val="24"/>
                <w:szCs w:val="24"/>
                <w:highlight w:val="none"/>
              </w:rPr>
              <w:t>）投标文件载明的招标项目完成期限未超过招标文件规定的时限。</w:t>
            </w:r>
          </w:p>
          <w:p>
            <w:pPr>
              <w:spacing w:line="360" w:lineRule="auto"/>
              <w:ind w:firstLine="120" w:firstLineChars="50"/>
              <w:rPr>
                <w:rFonts w:hint="eastAsia" w:ascii="仿宋" w:hAnsi="仿宋" w:eastAsia="仿宋" w:cs="仿宋"/>
                <w:color w:val="auto"/>
                <w:kern w:val="0"/>
                <w:sz w:val="24"/>
                <w:szCs w:val="24"/>
                <w:highlight w:val="none"/>
              </w:rPr>
            </w:pPr>
          </w:p>
          <w:p>
            <w:pPr>
              <w:spacing w:line="360" w:lineRule="auto"/>
              <w:ind w:firstLine="120" w:firstLineChars="50"/>
              <w:rPr>
                <w:rFonts w:hint="eastAsia" w:ascii="仿宋" w:hAnsi="仿宋" w:eastAsia="仿宋" w:cs="仿宋"/>
                <w:color w:val="auto"/>
                <w:kern w:val="0"/>
                <w:sz w:val="24"/>
                <w:szCs w:val="24"/>
                <w:highlight w:val="none"/>
              </w:rPr>
            </w:pPr>
          </w:p>
          <w:p>
            <w:pPr>
              <w:spacing w:line="360" w:lineRule="auto"/>
              <w:ind w:firstLine="120" w:firstLineChars="50"/>
              <w:rPr>
                <w:rFonts w:hint="eastAsia" w:ascii="仿宋" w:hAnsi="仿宋" w:eastAsia="仿宋" w:cs="仿宋"/>
                <w:color w:val="auto"/>
                <w:kern w:val="0"/>
                <w:sz w:val="24"/>
                <w:szCs w:val="24"/>
                <w:highlight w:val="none"/>
              </w:rPr>
            </w:pPr>
          </w:p>
          <w:p>
            <w:pPr>
              <w:spacing w:line="360" w:lineRule="auto"/>
              <w:ind w:firstLine="120" w:firstLineChars="50"/>
              <w:rPr>
                <w:rFonts w:hint="eastAsia" w:ascii="仿宋" w:hAnsi="仿宋" w:eastAsia="仿宋" w:cs="仿宋"/>
                <w:color w:val="auto"/>
                <w:kern w:val="0"/>
                <w:sz w:val="24"/>
                <w:szCs w:val="24"/>
                <w:highlight w:val="none"/>
              </w:rPr>
            </w:pPr>
          </w:p>
          <w:p>
            <w:pPr>
              <w:spacing w:line="360" w:lineRule="auto"/>
              <w:ind w:firstLine="120" w:firstLineChars="50"/>
              <w:rPr>
                <w:rFonts w:hint="eastAsia" w:ascii="仿宋" w:hAnsi="仿宋" w:eastAsia="仿宋" w:cs="仿宋"/>
                <w:color w:val="auto"/>
                <w:kern w:val="0"/>
                <w:sz w:val="24"/>
                <w:szCs w:val="24"/>
                <w:highlight w:val="none"/>
              </w:rPr>
            </w:pPr>
          </w:p>
          <w:p>
            <w:pPr>
              <w:spacing w:line="360" w:lineRule="auto"/>
              <w:ind w:firstLine="120" w:firstLineChars="50"/>
              <w:rPr>
                <w:rFonts w:hint="eastAsia" w:ascii="仿宋" w:hAnsi="仿宋" w:eastAsia="仿宋" w:cs="仿宋"/>
                <w:color w:val="auto"/>
                <w:kern w:val="0"/>
                <w:sz w:val="24"/>
                <w:szCs w:val="24"/>
                <w:highlight w:val="none"/>
              </w:rPr>
            </w:pPr>
          </w:p>
          <w:p>
            <w:pPr>
              <w:spacing w:line="360" w:lineRule="auto"/>
              <w:ind w:firstLine="120" w:firstLineChars="50"/>
              <w:rPr>
                <w:rFonts w:hint="eastAsia" w:ascii="仿宋" w:hAnsi="仿宋" w:eastAsia="仿宋" w:cs="仿宋"/>
                <w:color w:val="auto"/>
                <w:kern w:val="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tblHeader/>
          <w:jc w:val="center"/>
        </w:trPr>
        <w:tc>
          <w:tcPr>
            <w:tcW w:w="1924" w:type="dxa"/>
            <w:gridSpan w:val="2"/>
            <w:vAlign w:val="center"/>
          </w:tcPr>
          <w:p>
            <w:pPr>
              <w:spacing w:line="360" w:lineRule="auto"/>
              <w:ind w:firstLine="390" w:firstLineChars="0"/>
              <w:rPr>
                <w:rFonts w:hint="eastAsia" w:ascii="仿宋" w:hAnsi="仿宋" w:eastAsia="仿宋" w:cs="仿宋"/>
                <w:b/>
                <w:bCs/>
                <w:color w:val="000000"/>
                <w:sz w:val="24"/>
                <w:szCs w:val="24"/>
                <w:highlight w:val="none"/>
                <w:lang w:val="en-US" w:eastAsia="zh-CN"/>
              </w:rPr>
            </w:pPr>
            <w:r>
              <w:rPr>
                <w:rFonts w:hint="eastAsia" w:ascii="仿宋" w:hAnsi="仿宋" w:eastAsia="仿宋" w:cs="仿宋"/>
                <w:b/>
                <w:bCs/>
                <w:color w:val="000000"/>
                <w:sz w:val="24"/>
                <w:szCs w:val="24"/>
                <w:highlight w:val="none"/>
                <w:lang w:val="en-US" w:eastAsia="zh-CN"/>
              </w:rPr>
              <w:t>条款号</w:t>
            </w:r>
          </w:p>
        </w:tc>
        <w:tc>
          <w:tcPr>
            <w:tcW w:w="7920" w:type="dxa"/>
            <w:vAlign w:val="center"/>
          </w:tcPr>
          <w:p>
            <w:pPr>
              <w:spacing w:line="360" w:lineRule="auto"/>
              <w:ind w:left="0" w:leftChars="0" w:right="0" w:rightChars="0" w:firstLine="0" w:firstLineChars="0"/>
              <w:jc w:val="center"/>
              <w:rPr>
                <w:rFonts w:hint="eastAsia"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评审因素与评审标准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12847" w:hRule="atLeast"/>
          <w:tblHeader/>
          <w:jc w:val="center"/>
        </w:trPr>
        <w:tc>
          <w:tcPr>
            <w:tcW w:w="879" w:type="dxa"/>
            <w:vAlign w:val="center"/>
          </w:tcPr>
          <w:p>
            <w:pP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2.1.1</w:t>
            </w:r>
          </w:p>
          <w:p>
            <w:pP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2.1.3</w:t>
            </w:r>
          </w:p>
        </w:tc>
        <w:tc>
          <w:tcPr>
            <w:tcW w:w="1045" w:type="dxa"/>
            <w:vAlign w:val="center"/>
          </w:tcPr>
          <w:p>
            <w:pPr>
              <w:spacing w:line="360" w:lineRule="auto"/>
              <w:ind w:firstLine="390" w:firstLineChars="0"/>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形式评审与响应性评审标准</w:t>
            </w:r>
          </w:p>
        </w:tc>
        <w:tc>
          <w:tcPr>
            <w:tcW w:w="7920" w:type="dxa"/>
            <w:vAlign w:val="center"/>
          </w:tcPr>
          <w:p>
            <w:pPr>
              <w:pStyle w:val="6"/>
              <w:spacing w:line="268" w:lineRule="exact"/>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rPr>
              <w:t>（1</w:t>
            </w:r>
            <w:r>
              <w:rPr>
                <w:rFonts w:hint="eastAsia" w:ascii="仿宋" w:hAnsi="仿宋" w:eastAsia="仿宋" w:cs="仿宋"/>
                <w:sz w:val="24"/>
                <w:szCs w:val="24"/>
                <w:highlight w:val="none"/>
                <w:lang w:val="en-US" w:eastAsia="zh-CN"/>
              </w:rPr>
              <w:t>1</w:t>
            </w:r>
            <w:r>
              <w:rPr>
                <w:rFonts w:hint="eastAsia" w:ascii="仿宋" w:hAnsi="仿宋" w:eastAsia="仿宋" w:cs="仿宋"/>
                <w:sz w:val="24"/>
                <w:szCs w:val="24"/>
                <w:highlight w:val="none"/>
              </w:rPr>
              <w:t>）投标文件对招标文件的实质性要求和条件作出响应。</w:t>
            </w:r>
          </w:p>
          <w:p>
            <w:pPr>
              <w:pStyle w:val="6"/>
              <w:spacing w:before="91" w:beforeLines="0"/>
              <w:ind w:left="492"/>
              <w:rPr>
                <w:rFonts w:hint="eastAsia" w:ascii="仿宋" w:hAnsi="仿宋" w:eastAsia="仿宋" w:cs="仿宋"/>
                <w:sz w:val="24"/>
                <w:szCs w:val="24"/>
                <w:highlight w:val="none"/>
              </w:rPr>
            </w:pPr>
            <w:r>
              <w:rPr>
                <w:rFonts w:hint="eastAsia" w:ascii="仿宋" w:hAnsi="仿宋" w:eastAsia="仿宋" w:cs="仿宋"/>
                <w:sz w:val="24"/>
                <w:szCs w:val="24"/>
                <w:highlight w:val="none"/>
              </w:rPr>
              <w:t>（1</w:t>
            </w: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）权利义务符合招标文件规定：</w:t>
            </w:r>
          </w:p>
          <w:p>
            <w:pPr>
              <w:pStyle w:val="6"/>
              <w:spacing w:before="91" w:beforeLines="0" w:line="321" w:lineRule="auto"/>
              <w:ind w:left="108" w:right="47" w:firstLine="384"/>
              <w:rPr>
                <w:rFonts w:hint="eastAsia" w:ascii="仿宋" w:hAnsi="仿宋" w:eastAsia="仿宋" w:cs="仿宋"/>
                <w:sz w:val="24"/>
                <w:szCs w:val="24"/>
                <w:highlight w:val="none"/>
              </w:rPr>
            </w:pPr>
            <w:r>
              <w:rPr>
                <w:rFonts w:hint="eastAsia" w:ascii="仿宋" w:hAnsi="仿宋" w:eastAsia="仿宋" w:cs="仿宋"/>
                <w:sz w:val="24"/>
                <w:szCs w:val="24"/>
                <w:highlight w:val="none"/>
              </w:rPr>
              <w:t>a.投标人应接受招标文件规定的风险划分原则，未提出新的风险划分办法；</w:t>
            </w:r>
          </w:p>
          <w:p>
            <w:pPr>
              <w:pStyle w:val="6"/>
              <w:keepNext w:val="0"/>
              <w:keepLines w:val="0"/>
              <w:pageBreakBefore w:val="0"/>
              <w:widowControl w:val="0"/>
              <w:kinsoku/>
              <w:wordWrap/>
              <w:overflowPunct/>
              <w:topLinePunct w:val="0"/>
              <w:autoSpaceDE/>
              <w:autoSpaceDN/>
              <w:bidi w:val="0"/>
              <w:adjustRightInd/>
              <w:snapToGrid/>
              <w:spacing w:after="0" w:afterLines="0" w:line="240" w:lineRule="auto"/>
              <w:ind w:left="492" w:leftChars="0" w:right="0" w:rightChars="0" w:firstLine="0" w:firstLineChars="0"/>
              <w:jc w:val="both"/>
              <w:textAlignment w:val="auto"/>
              <w:outlineLvl w:val="9"/>
              <w:rPr>
                <w:rFonts w:hint="eastAsia" w:ascii="仿宋" w:hAnsi="仿宋" w:eastAsia="仿宋" w:cs="仿宋"/>
                <w:sz w:val="24"/>
                <w:szCs w:val="24"/>
                <w:highlight w:val="none"/>
              </w:rPr>
            </w:pPr>
            <w:r>
              <w:rPr>
                <w:rFonts w:hint="eastAsia" w:ascii="仿宋" w:hAnsi="仿宋" w:eastAsia="仿宋" w:cs="仿宋"/>
                <w:sz w:val="24"/>
                <w:szCs w:val="24"/>
                <w:highlight w:val="none"/>
              </w:rPr>
              <w:t>b.投标人未增加发包人的责任范围，或减少投标人义务；</w:t>
            </w:r>
          </w:p>
          <w:p>
            <w:pPr>
              <w:pStyle w:val="6"/>
              <w:keepNext w:val="0"/>
              <w:keepLines w:val="0"/>
              <w:pageBreakBefore w:val="0"/>
              <w:widowControl w:val="0"/>
              <w:kinsoku/>
              <w:wordWrap/>
              <w:overflowPunct/>
              <w:topLinePunct w:val="0"/>
              <w:autoSpaceDE/>
              <w:autoSpaceDN/>
              <w:bidi w:val="0"/>
              <w:adjustRightInd/>
              <w:snapToGrid/>
              <w:spacing w:before="91" w:beforeLines="0" w:after="0" w:afterLines="0" w:line="240" w:lineRule="auto"/>
              <w:ind w:left="492" w:leftChars="0" w:right="0" w:rightChars="0" w:firstLine="0" w:firstLineChars="0"/>
              <w:jc w:val="both"/>
              <w:textAlignment w:val="auto"/>
              <w:outlineLvl w:val="9"/>
              <w:rPr>
                <w:rFonts w:hint="eastAsia" w:ascii="仿宋" w:hAnsi="仿宋" w:eastAsia="仿宋" w:cs="仿宋"/>
                <w:sz w:val="24"/>
                <w:szCs w:val="24"/>
                <w:highlight w:val="none"/>
              </w:rPr>
            </w:pPr>
            <w:r>
              <w:rPr>
                <w:rFonts w:hint="eastAsia" w:ascii="仿宋" w:hAnsi="仿宋" w:eastAsia="仿宋" w:cs="仿宋"/>
                <w:sz w:val="24"/>
                <w:szCs w:val="24"/>
                <w:highlight w:val="none"/>
              </w:rPr>
              <w:t>c.投标人未提出不同的工程验收、计量、支付办法；</w:t>
            </w:r>
          </w:p>
          <w:p>
            <w:pPr>
              <w:pStyle w:val="6"/>
              <w:keepNext w:val="0"/>
              <w:keepLines w:val="0"/>
              <w:pageBreakBefore w:val="0"/>
              <w:widowControl w:val="0"/>
              <w:kinsoku/>
              <w:wordWrap/>
              <w:overflowPunct/>
              <w:topLinePunct w:val="0"/>
              <w:autoSpaceDE/>
              <w:autoSpaceDN/>
              <w:bidi w:val="0"/>
              <w:adjustRightInd/>
              <w:snapToGrid/>
              <w:spacing w:before="91" w:beforeLines="0" w:after="0" w:afterLines="0" w:line="240" w:lineRule="auto"/>
              <w:ind w:left="492" w:leftChars="0" w:right="0" w:rightChars="0" w:firstLine="0" w:firstLineChars="0"/>
              <w:jc w:val="both"/>
              <w:textAlignment w:val="auto"/>
              <w:outlineLvl w:val="9"/>
              <w:rPr>
                <w:rFonts w:hint="eastAsia" w:ascii="仿宋" w:hAnsi="仿宋" w:eastAsia="仿宋" w:cs="仿宋"/>
                <w:sz w:val="24"/>
                <w:szCs w:val="24"/>
                <w:highlight w:val="none"/>
              </w:rPr>
            </w:pPr>
            <w:r>
              <w:rPr>
                <w:rFonts w:hint="eastAsia" w:ascii="仿宋" w:hAnsi="仿宋" w:eastAsia="仿宋" w:cs="仿宋"/>
                <w:sz w:val="24"/>
                <w:szCs w:val="24"/>
                <w:highlight w:val="none"/>
              </w:rPr>
              <w:t>d.投标人对合同纠纷、事故处理办法未提出异议；</w:t>
            </w:r>
          </w:p>
          <w:p>
            <w:pPr>
              <w:pStyle w:val="6"/>
              <w:keepNext w:val="0"/>
              <w:keepLines w:val="0"/>
              <w:pageBreakBefore w:val="0"/>
              <w:widowControl w:val="0"/>
              <w:kinsoku/>
              <w:wordWrap/>
              <w:overflowPunct/>
              <w:topLinePunct w:val="0"/>
              <w:autoSpaceDE/>
              <w:autoSpaceDN/>
              <w:bidi w:val="0"/>
              <w:adjustRightInd/>
              <w:snapToGrid/>
              <w:spacing w:after="0" w:afterLines="0" w:line="240" w:lineRule="auto"/>
              <w:ind w:left="492" w:leftChars="0" w:right="0" w:rightChars="0" w:firstLine="0" w:firstLineChars="0"/>
              <w:jc w:val="both"/>
              <w:textAlignment w:val="auto"/>
              <w:outlineLvl w:val="9"/>
              <w:rPr>
                <w:rFonts w:hint="eastAsia" w:ascii="仿宋" w:hAnsi="仿宋" w:eastAsia="仿宋" w:cs="仿宋"/>
                <w:sz w:val="24"/>
                <w:szCs w:val="24"/>
                <w:highlight w:val="none"/>
              </w:rPr>
            </w:pPr>
            <w:r>
              <w:rPr>
                <w:rFonts w:hint="eastAsia" w:ascii="仿宋" w:hAnsi="仿宋" w:eastAsia="仿宋" w:cs="仿宋"/>
                <w:sz w:val="24"/>
                <w:szCs w:val="24"/>
                <w:highlight w:val="none"/>
              </w:rPr>
              <w:t>e.投标人在投标活动中无欺诈行为；</w:t>
            </w:r>
          </w:p>
          <w:p>
            <w:pPr>
              <w:pStyle w:val="6"/>
              <w:keepNext w:val="0"/>
              <w:keepLines w:val="0"/>
              <w:pageBreakBefore w:val="0"/>
              <w:widowControl w:val="0"/>
              <w:kinsoku/>
              <w:wordWrap/>
              <w:overflowPunct/>
              <w:topLinePunct w:val="0"/>
              <w:autoSpaceDE/>
              <w:autoSpaceDN/>
              <w:bidi w:val="0"/>
              <w:adjustRightInd/>
              <w:snapToGrid/>
              <w:spacing w:after="0" w:afterLines="0" w:line="240" w:lineRule="auto"/>
              <w:ind w:right="0" w:rightChars="0"/>
              <w:jc w:val="both"/>
              <w:textAlignment w:val="auto"/>
              <w:outlineLvl w:val="9"/>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rPr>
              <w:t>f.投标人未对合同条款有重要保留</w:t>
            </w:r>
            <w:r>
              <w:rPr>
                <w:rFonts w:hint="eastAsia" w:ascii="仿宋" w:hAnsi="仿宋" w:eastAsia="仿宋" w:cs="仿宋"/>
                <w:sz w:val="24"/>
                <w:szCs w:val="24"/>
                <w:highlight w:val="none"/>
                <w:lang w:val="en-US" w:eastAsia="zh-CN"/>
              </w:rPr>
              <w:t>.</w:t>
            </w:r>
          </w:p>
          <w:p>
            <w:pPr>
              <w:pStyle w:val="6"/>
              <w:numPr>
                <w:ilvl w:val="0"/>
                <w:numId w:val="1"/>
              </w:numPr>
              <w:spacing w:before="90" w:beforeLines="0" w:line="321" w:lineRule="auto"/>
              <w:ind w:left="108" w:right="90" w:firstLine="384"/>
              <w:rPr>
                <w:rFonts w:hint="eastAsia" w:ascii="仿宋" w:hAnsi="仿宋" w:eastAsia="仿宋" w:cs="仿宋"/>
                <w:sz w:val="24"/>
                <w:szCs w:val="24"/>
                <w:highlight w:val="none"/>
              </w:rPr>
            </w:pPr>
            <w:r>
              <w:rPr>
                <w:rFonts w:hint="eastAsia" w:ascii="仿宋" w:hAnsi="仿宋" w:eastAsia="仿宋" w:cs="仿宋"/>
                <w:sz w:val="24"/>
                <w:szCs w:val="24"/>
                <w:highlight w:val="none"/>
              </w:rPr>
              <w:t>投标文件正、副本份数符合招标文件第二章“投标人须知” 第 3.7.4 项规定。</w:t>
            </w:r>
          </w:p>
          <w:p>
            <w:pPr>
              <w:pStyle w:val="6"/>
              <w:numPr>
                <w:ilvl w:val="0"/>
                <w:numId w:val="0"/>
              </w:numPr>
              <w:spacing w:before="90" w:beforeLines="0" w:line="321" w:lineRule="auto"/>
              <w:ind w:left="492" w:leftChars="0" w:right="90" w:rightChars="0"/>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（14）投标文件未附有招标人不能接受的条件。</w:t>
            </w:r>
          </w:p>
          <w:p>
            <w:pPr>
              <w:pStyle w:val="6"/>
              <w:spacing w:before="173" w:beforeLines="0"/>
              <w:ind w:left="495"/>
              <w:rPr>
                <w:rFonts w:hint="eastAsia" w:ascii="仿宋" w:hAnsi="仿宋" w:eastAsia="仿宋" w:cs="仿宋"/>
                <w:b/>
                <w:sz w:val="24"/>
                <w:szCs w:val="24"/>
                <w:highlight w:val="none"/>
              </w:rPr>
            </w:pPr>
            <w:r>
              <w:rPr>
                <w:rFonts w:hint="eastAsia" w:ascii="仿宋" w:hAnsi="仿宋" w:eastAsia="仿宋" w:cs="仿宋"/>
                <w:b/>
                <w:sz w:val="24"/>
                <w:szCs w:val="24"/>
                <w:highlight w:val="none"/>
              </w:rPr>
              <w:t>第二个信封（报价文件）评审标准：</w:t>
            </w:r>
          </w:p>
          <w:p>
            <w:pPr>
              <w:pStyle w:val="6"/>
              <w:spacing w:before="92" w:beforeLines="0" w:line="321" w:lineRule="auto"/>
              <w:ind w:left="108" w:right="50" w:firstLine="420"/>
              <w:rPr>
                <w:rFonts w:hint="eastAsia" w:ascii="仿宋" w:hAnsi="仿宋" w:eastAsia="仿宋" w:cs="仿宋"/>
                <w:sz w:val="24"/>
                <w:szCs w:val="24"/>
                <w:highlight w:val="none"/>
              </w:rPr>
            </w:pPr>
            <w:r>
              <w:rPr>
                <w:rFonts w:hint="eastAsia" w:ascii="仿宋" w:hAnsi="仿宋" w:eastAsia="仿宋" w:cs="仿宋"/>
                <w:sz w:val="24"/>
                <w:szCs w:val="24"/>
                <w:highlight w:val="none"/>
              </w:rPr>
              <w:t>（1）投标文件按照招标文件规定的格式、内容填写，字迹清晰可辨：</w:t>
            </w:r>
          </w:p>
          <w:p>
            <w:pPr>
              <w:pStyle w:val="6"/>
              <w:spacing w:line="321" w:lineRule="auto"/>
              <w:ind w:left="108" w:right="93" w:firstLine="420"/>
              <w:rPr>
                <w:rFonts w:hint="eastAsia" w:ascii="仿宋" w:hAnsi="仿宋" w:eastAsia="仿宋" w:cs="仿宋"/>
                <w:sz w:val="24"/>
                <w:szCs w:val="24"/>
                <w:highlight w:val="none"/>
              </w:rPr>
            </w:pPr>
            <w:r>
              <w:rPr>
                <w:rFonts w:hint="eastAsia" w:ascii="仿宋" w:hAnsi="仿宋" w:eastAsia="仿宋" w:cs="仿宋"/>
                <w:sz w:val="24"/>
                <w:szCs w:val="24"/>
                <w:highlight w:val="none"/>
              </w:rPr>
              <w:t>a.投标函按招标文件规定填报了项目名称、标段号、补遗书编号（如有）、投标价（包括大写金额和小写金额</w:t>
            </w:r>
            <w:r>
              <w:rPr>
                <w:rFonts w:hint="eastAsia" w:ascii="仿宋" w:hAnsi="仿宋" w:eastAsia="仿宋" w:cs="仿宋"/>
                <w:sz w:val="24"/>
                <w:szCs w:val="24"/>
                <w:highlight w:val="none"/>
                <w:lang w:eastAsia="zh-CN"/>
              </w:rPr>
              <w:t>）；</w:t>
            </w:r>
          </w:p>
          <w:p>
            <w:pPr>
              <w:pStyle w:val="6"/>
              <w:spacing w:line="321" w:lineRule="auto"/>
              <w:ind w:left="108" w:right="22" w:firstLine="420"/>
              <w:rPr>
                <w:rFonts w:hint="eastAsia" w:ascii="仿宋" w:hAnsi="仿宋" w:eastAsia="仿宋" w:cs="仿宋"/>
                <w:sz w:val="24"/>
                <w:szCs w:val="24"/>
                <w:highlight w:val="none"/>
              </w:rPr>
            </w:pPr>
            <w:r>
              <w:rPr>
                <w:rFonts w:hint="eastAsia" w:ascii="仿宋" w:hAnsi="仿宋" w:eastAsia="仿宋" w:cs="仿宋"/>
                <w:sz w:val="24"/>
                <w:szCs w:val="24"/>
                <w:highlight w:val="none"/>
              </w:rPr>
              <w:t>b.已标价工程量清单说明文字与招标文件规定一致，未进行实质性修改和删减；</w:t>
            </w:r>
          </w:p>
          <w:p>
            <w:pPr>
              <w:pStyle w:val="6"/>
              <w:spacing w:line="268" w:lineRule="exact"/>
              <w:ind w:left="528"/>
              <w:rPr>
                <w:rFonts w:hint="eastAsia" w:ascii="仿宋" w:hAnsi="仿宋" w:eastAsia="仿宋" w:cs="仿宋"/>
                <w:sz w:val="24"/>
                <w:szCs w:val="24"/>
                <w:highlight w:val="none"/>
              </w:rPr>
            </w:pPr>
            <w:r>
              <w:rPr>
                <w:rFonts w:hint="eastAsia" w:ascii="仿宋" w:hAnsi="仿宋" w:eastAsia="仿宋" w:cs="仿宋"/>
                <w:sz w:val="24"/>
                <w:szCs w:val="24"/>
                <w:highlight w:val="none"/>
              </w:rPr>
              <w:t>c.投标文件组成齐全完整，内容均按规定填写。</w:t>
            </w:r>
          </w:p>
          <w:p>
            <w:pPr>
              <w:pStyle w:val="6"/>
              <w:spacing w:before="88" w:beforeLines="0" w:line="321" w:lineRule="auto"/>
              <w:ind w:left="108" w:right="49" w:firstLine="420"/>
              <w:rPr>
                <w:rFonts w:hint="eastAsia" w:ascii="仿宋" w:hAnsi="仿宋" w:eastAsia="仿宋" w:cs="仿宋"/>
                <w:sz w:val="24"/>
                <w:szCs w:val="24"/>
                <w:highlight w:val="none"/>
              </w:rPr>
            </w:pPr>
            <w:r>
              <w:rPr>
                <w:rFonts w:hint="eastAsia" w:ascii="仿宋" w:hAnsi="仿宋" w:eastAsia="仿宋" w:cs="仿宋"/>
                <w:sz w:val="24"/>
                <w:szCs w:val="24"/>
                <w:highlight w:val="none"/>
              </w:rPr>
              <w:t>（2）投标文件上法定代表人或其委托代理人的签字、投标人的单位章盖章齐全，符合招标文件投标人须知3.7.3的规定。</w:t>
            </w:r>
          </w:p>
          <w:p>
            <w:pPr>
              <w:pStyle w:val="6"/>
              <w:spacing w:line="321" w:lineRule="auto"/>
              <w:ind w:left="108" w:right="90" w:firstLine="420"/>
              <w:rPr>
                <w:rFonts w:hint="eastAsia" w:ascii="仿宋" w:hAnsi="仿宋" w:eastAsia="仿宋" w:cs="仿宋"/>
                <w:sz w:val="24"/>
                <w:szCs w:val="24"/>
                <w:highlight w:val="none"/>
              </w:rPr>
            </w:pPr>
            <w:r>
              <w:rPr>
                <w:rFonts w:hint="eastAsia" w:ascii="仿宋" w:hAnsi="仿宋" w:eastAsia="仿宋" w:cs="仿宋"/>
                <w:spacing w:val="-4"/>
                <w:sz w:val="24"/>
                <w:szCs w:val="24"/>
                <w:highlight w:val="none"/>
              </w:rPr>
              <w:t>（3）</w:t>
            </w:r>
            <w:r>
              <w:rPr>
                <w:rFonts w:hint="eastAsia" w:ascii="仿宋" w:hAnsi="仿宋" w:eastAsia="仿宋" w:cs="仿宋"/>
                <w:spacing w:val="-3"/>
                <w:sz w:val="24"/>
                <w:szCs w:val="24"/>
                <w:highlight w:val="none"/>
              </w:rPr>
              <w:t>投标报价或调价函中的报价未超过招标文件设定的</w:t>
            </w:r>
            <w:r>
              <w:rPr>
                <w:rFonts w:hint="eastAsia" w:ascii="仿宋" w:hAnsi="仿宋" w:eastAsia="仿宋" w:cs="仿宋"/>
                <w:spacing w:val="-3"/>
                <w:sz w:val="24"/>
                <w:szCs w:val="24"/>
                <w:highlight w:val="none"/>
                <w:lang w:eastAsia="zh-CN"/>
              </w:rPr>
              <w:t>最高评标限价（</w:t>
            </w:r>
            <w:r>
              <w:rPr>
                <w:rFonts w:hint="eastAsia" w:ascii="仿宋" w:hAnsi="仿宋" w:eastAsia="仿宋" w:cs="仿宋"/>
                <w:spacing w:val="-3"/>
                <w:sz w:val="24"/>
                <w:szCs w:val="24"/>
                <w:highlight w:val="none"/>
                <w:lang w:val="en-US" w:eastAsia="zh-CN"/>
              </w:rPr>
              <w:t>如有</w:t>
            </w:r>
            <w:r>
              <w:rPr>
                <w:rFonts w:hint="eastAsia" w:ascii="仿宋" w:hAnsi="仿宋" w:eastAsia="仿宋" w:cs="仿宋"/>
                <w:spacing w:val="-3"/>
                <w:sz w:val="24"/>
                <w:szCs w:val="24"/>
                <w:highlight w:val="none"/>
                <w:lang w:eastAsia="zh-CN"/>
              </w:rPr>
              <w:t>）</w:t>
            </w:r>
            <w:r>
              <w:rPr>
                <w:rFonts w:hint="eastAsia" w:ascii="仿宋" w:hAnsi="仿宋" w:eastAsia="仿宋" w:cs="仿宋"/>
                <w:sz w:val="24"/>
                <w:szCs w:val="24"/>
                <w:highlight w:val="none"/>
              </w:rPr>
              <w:t>。</w:t>
            </w:r>
          </w:p>
          <w:p>
            <w:pPr>
              <w:pStyle w:val="6"/>
              <w:spacing w:line="268" w:lineRule="exact"/>
              <w:ind w:left="528"/>
              <w:rPr>
                <w:rFonts w:hint="eastAsia" w:ascii="仿宋" w:hAnsi="仿宋" w:eastAsia="仿宋" w:cs="仿宋"/>
                <w:sz w:val="24"/>
                <w:szCs w:val="24"/>
                <w:highlight w:val="none"/>
              </w:rPr>
            </w:pPr>
            <w:r>
              <w:rPr>
                <w:rFonts w:hint="eastAsia" w:ascii="仿宋" w:hAnsi="仿宋" w:eastAsia="仿宋" w:cs="仿宋"/>
                <w:sz w:val="24"/>
                <w:szCs w:val="24"/>
                <w:highlight w:val="none"/>
              </w:rPr>
              <w:t>（4）投标报价或调价函中报价的大写金额能够确定具体数值。</w:t>
            </w:r>
          </w:p>
          <w:p>
            <w:pPr>
              <w:pStyle w:val="6"/>
              <w:spacing w:before="91" w:beforeLines="0" w:line="321" w:lineRule="auto"/>
              <w:ind w:left="108" w:right="50" w:firstLine="420"/>
              <w:rPr>
                <w:rFonts w:hint="eastAsia" w:ascii="仿宋" w:hAnsi="仿宋" w:eastAsia="仿宋" w:cs="仿宋"/>
                <w:sz w:val="24"/>
                <w:szCs w:val="24"/>
                <w:highlight w:val="none"/>
              </w:rPr>
            </w:pPr>
            <w:r>
              <w:rPr>
                <w:rFonts w:hint="eastAsia" w:ascii="仿宋" w:hAnsi="仿宋" w:eastAsia="仿宋" w:cs="仿宋"/>
                <w:sz w:val="24"/>
                <w:szCs w:val="24"/>
                <w:highlight w:val="none"/>
              </w:rPr>
              <w:t>（5）同一投标人未提交两个以上不同的投标报价，但招标文件要求提交备选投标的除外。</w:t>
            </w:r>
          </w:p>
          <w:p>
            <w:pPr>
              <w:pStyle w:val="6"/>
              <w:spacing w:line="321" w:lineRule="auto"/>
              <w:ind w:left="108" w:right="93" w:firstLine="420"/>
              <w:jc w:val="both"/>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（6）投标人若提交调价函，调价函符合招标文件第二章“投标人须知”第 3.2.6 项要求</w:t>
            </w:r>
            <w:r>
              <w:rPr>
                <w:rFonts w:hint="eastAsia" w:ascii="仿宋" w:hAnsi="仿宋" w:eastAsia="仿宋" w:cs="仿宋"/>
                <w:sz w:val="24"/>
                <w:szCs w:val="24"/>
                <w:highlight w:val="none"/>
                <w:lang w:eastAsia="zh-CN"/>
              </w:rPr>
              <w:t>。</w:t>
            </w:r>
          </w:p>
          <w:p>
            <w:pPr>
              <w:pStyle w:val="6"/>
              <w:spacing w:line="321" w:lineRule="auto"/>
              <w:ind w:left="108" w:right="93" w:firstLine="420"/>
              <w:jc w:val="both"/>
              <w:rPr>
                <w:rFonts w:hint="eastAsia" w:ascii="仿宋" w:hAnsi="仿宋" w:eastAsia="仿宋" w:cs="仿宋"/>
                <w:sz w:val="24"/>
                <w:szCs w:val="24"/>
                <w:highlight w:val="none"/>
              </w:rPr>
            </w:pPr>
            <w:r>
              <w:rPr>
                <w:rFonts w:hint="eastAsia" w:ascii="仿宋" w:hAnsi="仿宋" w:eastAsia="仿宋" w:cs="仿宋"/>
                <w:spacing w:val="-3"/>
                <w:sz w:val="24"/>
                <w:szCs w:val="24"/>
                <w:highlight w:val="none"/>
              </w:rPr>
              <w:t>（7）</w:t>
            </w:r>
            <w:r>
              <w:rPr>
                <w:rFonts w:hint="eastAsia" w:ascii="仿宋" w:hAnsi="仿宋" w:eastAsia="仿宋" w:cs="仿宋"/>
                <w:spacing w:val="-4"/>
                <w:sz w:val="24"/>
                <w:szCs w:val="24"/>
                <w:highlight w:val="none"/>
              </w:rPr>
              <w:t xml:space="preserve">投标人若填写工程量固化清单，填写完毕的工程量固化清单未对工程量固化清单电子文件中的数据、格式和运算定义进行修改； </w:t>
            </w:r>
            <w:r>
              <w:rPr>
                <w:rFonts w:hint="eastAsia" w:ascii="仿宋" w:hAnsi="仿宋" w:eastAsia="仿宋" w:cs="仿宋"/>
                <w:spacing w:val="-3"/>
                <w:sz w:val="24"/>
                <w:szCs w:val="24"/>
                <w:highlight w:val="none"/>
              </w:rPr>
              <w:t>工程量固化清单中的投标报价和投标函大写金额报价一致。</w:t>
            </w:r>
          </w:p>
          <w:p>
            <w:pPr>
              <w:pStyle w:val="6"/>
              <w:spacing w:line="268" w:lineRule="exact"/>
              <w:ind w:left="528"/>
              <w:rPr>
                <w:rFonts w:hint="eastAsia" w:ascii="仿宋" w:hAnsi="仿宋" w:eastAsia="仿宋" w:cs="仿宋"/>
                <w:sz w:val="24"/>
                <w:szCs w:val="24"/>
                <w:highlight w:val="none"/>
              </w:rPr>
            </w:pPr>
            <w:r>
              <w:rPr>
                <w:rFonts w:hint="eastAsia" w:ascii="仿宋" w:hAnsi="仿宋" w:eastAsia="仿宋" w:cs="仿宋"/>
                <w:sz w:val="24"/>
                <w:szCs w:val="24"/>
                <w:highlight w:val="none"/>
              </w:rPr>
              <w:t>（8）投标文件正、副本份数符合招标文件第二章“投标人须知”第</w:t>
            </w:r>
          </w:p>
          <w:p>
            <w:pPr>
              <w:pStyle w:val="6"/>
              <w:spacing w:before="88" w:beforeLines="0"/>
              <w:ind w:left="108"/>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3.7.4 项规定。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929" w:hRule="atLeast"/>
          <w:tblHeader/>
          <w:jc w:val="center"/>
        </w:trPr>
        <w:tc>
          <w:tcPr>
            <w:tcW w:w="1924" w:type="dxa"/>
            <w:gridSpan w:val="2"/>
            <w:vAlign w:val="center"/>
          </w:tcPr>
          <w:p>
            <w:pPr>
              <w:spacing w:line="360" w:lineRule="auto"/>
              <w:ind w:firstLine="390" w:firstLineChars="0"/>
              <w:rPr>
                <w:rFonts w:hint="eastAsia" w:ascii="仿宋" w:hAnsi="仿宋" w:eastAsia="仿宋" w:cs="仿宋"/>
                <w:color w:val="000000"/>
                <w:szCs w:val="21"/>
                <w:highlight w:val="none"/>
              </w:rPr>
            </w:pPr>
            <w:r>
              <w:rPr>
                <w:rFonts w:hint="eastAsia" w:ascii="仿宋" w:hAnsi="仿宋" w:eastAsia="仿宋" w:cs="仿宋"/>
                <w:b/>
                <w:bCs/>
                <w:color w:val="000000"/>
                <w:sz w:val="24"/>
                <w:szCs w:val="24"/>
                <w:highlight w:val="none"/>
                <w:lang w:val="en-US" w:eastAsia="zh-CN"/>
              </w:rPr>
              <w:t>条款号</w:t>
            </w:r>
          </w:p>
        </w:tc>
        <w:tc>
          <w:tcPr>
            <w:tcW w:w="7920" w:type="dxa"/>
            <w:vAlign w:val="center"/>
          </w:tcPr>
          <w:p>
            <w:pPr>
              <w:spacing w:line="360" w:lineRule="auto"/>
              <w:ind w:left="0" w:leftChars="0" w:right="0" w:rightChars="0" w:firstLine="0" w:firstLineChars="0"/>
              <w:jc w:val="center"/>
              <w:rPr>
                <w:rFonts w:hint="eastAsia" w:ascii="仿宋" w:hAnsi="仿宋" w:eastAsia="仿宋" w:cs="仿宋"/>
                <w:sz w:val="21"/>
                <w:highlight w:val="none"/>
                <w:lang w:val="en-US" w:eastAsia="zh-CN"/>
              </w:rPr>
            </w:pPr>
            <w:r>
              <w:rPr>
                <w:rFonts w:hint="eastAsia" w:ascii="仿宋" w:hAnsi="仿宋" w:eastAsia="仿宋" w:cs="仿宋"/>
                <w:b/>
                <w:bCs/>
                <w:sz w:val="24"/>
                <w:szCs w:val="24"/>
                <w:highlight w:val="none"/>
                <w:lang w:val="en-US" w:eastAsia="zh-CN"/>
              </w:rPr>
              <w:t>评审因素与评审标准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3044" w:hRule="atLeast"/>
          <w:tblHeader/>
          <w:jc w:val="center"/>
        </w:trPr>
        <w:tc>
          <w:tcPr>
            <w:tcW w:w="879" w:type="dxa"/>
            <w:vAlign w:val="top"/>
          </w:tcPr>
          <w:p>
            <w:pPr>
              <w:pStyle w:val="6"/>
              <w:rPr>
                <w:rFonts w:hint="eastAsia" w:ascii="仿宋" w:hAnsi="仿宋" w:eastAsia="仿宋" w:cs="仿宋"/>
                <w:color w:val="000000"/>
                <w:sz w:val="22"/>
                <w:highlight w:val="none"/>
              </w:rPr>
            </w:pPr>
          </w:p>
          <w:p>
            <w:pPr>
              <w:pStyle w:val="6"/>
              <w:rPr>
                <w:rFonts w:hint="eastAsia" w:ascii="仿宋" w:hAnsi="仿宋" w:eastAsia="仿宋" w:cs="仿宋"/>
                <w:color w:val="000000"/>
                <w:sz w:val="22"/>
                <w:highlight w:val="none"/>
              </w:rPr>
            </w:pPr>
          </w:p>
          <w:p>
            <w:pPr>
              <w:pStyle w:val="6"/>
              <w:rPr>
                <w:rFonts w:hint="eastAsia" w:ascii="仿宋" w:hAnsi="仿宋" w:eastAsia="仿宋" w:cs="仿宋"/>
                <w:color w:val="000000"/>
                <w:sz w:val="22"/>
                <w:highlight w:val="none"/>
              </w:rPr>
            </w:pPr>
          </w:p>
          <w:p>
            <w:pPr>
              <w:pStyle w:val="6"/>
              <w:spacing w:before="187" w:beforeLines="0"/>
              <w:ind w:left="239" w:leftChars="0"/>
              <w:rPr>
                <w:rFonts w:hint="eastAsia" w:ascii="仿宋" w:hAnsi="仿宋" w:eastAsia="仿宋" w:cs="仿宋"/>
                <w:color w:val="000000"/>
                <w:szCs w:val="24"/>
                <w:highlight w:val="none"/>
              </w:rPr>
            </w:pPr>
            <w:r>
              <w:rPr>
                <w:rFonts w:hint="eastAsia" w:ascii="仿宋" w:hAnsi="仿宋" w:eastAsia="仿宋" w:cs="仿宋"/>
                <w:color w:val="000000"/>
                <w:sz w:val="21"/>
                <w:highlight w:val="none"/>
              </w:rPr>
              <w:t>2.1.2</w:t>
            </w:r>
          </w:p>
        </w:tc>
        <w:tc>
          <w:tcPr>
            <w:tcW w:w="1045" w:type="dxa"/>
            <w:vAlign w:val="top"/>
          </w:tcPr>
          <w:p>
            <w:pPr>
              <w:pStyle w:val="6"/>
              <w:rPr>
                <w:rFonts w:hint="eastAsia" w:ascii="仿宋" w:hAnsi="仿宋" w:eastAsia="仿宋" w:cs="仿宋"/>
                <w:color w:val="000000"/>
                <w:sz w:val="22"/>
                <w:highlight w:val="none"/>
              </w:rPr>
            </w:pPr>
          </w:p>
          <w:p>
            <w:pPr>
              <w:pStyle w:val="6"/>
              <w:rPr>
                <w:rFonts w:hint="eastAsia" w:ascii="仿宋" w:hAnsi="仿宋" w:eastAsia="仿宋" w:cs="仿宋"/>
                <w:color w:val="000000"/>
                <w:sz w:val="22"/>
                <w:highlight w:val="none"/>
              </w:rPr>
            </w:pPr>
          </w:p>
          <w:p>
            <w:pPr>
              <w:pStyle w:val="6"/>
              <w:spacing w:line="321" w:lineRule="auto"/>
              <w:ind w:left="299" w:leftChars="0" w:right="131" w:rightChars="0" w:hanging="156" w:firstLineChars="0"/>
              <w:rPr>
                <w:rFonts w:hint="eastAsia" w:ascii="仿宋" w:hAnsi="仿宋" w:eastAsia="仿宋" w:cs="仿宋"/>
                <w:color w:val="000000"/>
                <w:kern w:val="0"/>
                <w:szCs w:val="21"/>
                <w:highlight w:val="none"/>
              </w:rPr>
            </w:pPr>
            <w:r>
              <w:rPr>
                <w:rFonts w:hint="eastAsia" w:ascii="仿宋" w:hAnsi="仿宋" w:eastAsia="仿宋" w:cs="仿宋"/>
                <w:color w:val="000000"/>
                <w:kern w:val="0"/>
                <w:szCs w:val="21"/>
                <w:highlight w:val="none"/>
              </w:rPr>
              <w:t>资</w:t>
            </w:r>
          </w:p>
          <w:p>
            <w:pPr>
              <w:pStyle w:val="6"/>
              <w:spacing w:line="321" w:lineRule="auto"/>
              <w:ind w:left="299" w:leftChars="0" w:right="131" w:rightChars="0" w:hanging="156" w:firstLineChars="0"/>
              <w:rPr>
                <w:rFonts w:hint="eastAsia" w:ascii="仿宋" w:hAnsi="仿宋" w:eastAsia="仿宋" w:cs="仿宋"/>
                <w:color w:val="000000"/>
                <w:kern w:val="0"/>
                <w:szCs w:val="21"/>
                <w:highlight w:val="none"/>
              </w:rPr>
            </w:pPr>
            <w:r>
              <w:rPr>
                <w:rFonts w:hint="eastAsia" w:ascii="仿宋" w:hAnsi="仿宋" w:eastAsia="仿宋" w:cs="仿宋"/>
                <w:color w:val="000000"/>
                <w:kern w:val="0"/>
                <w:szCs w:val="21"/>
                <w:highlight w:val="none"/>
              </w:rPr>
              <w:t>格</w:t>
            </w:r>
          </w:p>
          <w:p>
            <w:pPr>
              <w:pStyle w:val="6"/>
              <w:spacing w:line="321" w:lineRule="auto"/>
              <w:ind w:left="299" w:leftChars="0" w:right="131" w:rightChars="0" w:hanging="156" w:firstLineChars="0"/>
              <w:rPr>
                <w:rFonts w:hint="eastAsia" w:ascii="仿宋" w:hAnsi="仿宋" w:eastAsia="仿宋" w:cs="仿宋"/>
                <w:color w:val="000000"/>
                <w:kern w:val="0"/>
                <w:szCs w:val="21"/>
                <w:highlight w:val="none"/>
              </w:rPr>
            </w:pPr>
            <w:r>
              <w:rPr>
                <w:rFonts w:hint="eastAsia" w:ascii="仿宋" w:hAnsi="仿宋" w:eastAsia="仿宋" w:cs="仿宋"/>
                <w:color w:val="000000"/>
                <w:kern w:val="0"/>
                <w:szCs w:val="21"/>
                <w:highlight w:val="none"/>
              </w:rPr>
              <w:t>评</w:t>
            </w:r>
          </w:p>
          <w:p>
            <w:pPr>
              <w:pStyle w:val="6"/>
              <w:spacing w:line="321" w:lineRule="auto"/>
              <w:ind w:left="299" w:leftChars="0" w:right="131" w:rightChars="0" w:hanging="156" w:firstLineChars="0"/>
              <w:rPr>
                <w:rFonts w:hint="eastAsia" w:ascii="仿宋" w:hAnsi="仿宋" w:eastAsia="仿宋" w:cs="仿宋"/>
                <w:color w:val="000000"/>
                <w:kern w:val="0"/>
                <w:szCs w:val="21"/>
                <w:highlight w:val="none"/>
              </w:rPr>
            </w:pPr>
            <w:r>
              <w:rPr>
                <w:rFonts w:hint="eastAsia" w:ascii="仿宋" w:hAnsi="仿宋" w:eastAsia="仿宋" w:cs="仿宋"/>
                <w:color w:val="000000"/>
                <w:kern w:val="0"/>
                <w:szCs w:val="21"/>
                <w:highlight w:val="none"/>
              </w:rPr>
              <w:t>审</w:t>
            </w:r>
          </w:p>
          <w:p>
            <w:pPr>
              <w:pStyle w:val="6"/>
              <w:spacing w:line="321" w:lineRule="auto"/>
              <w:ind w:left="299" w:leftChars="0" w:right="131" w:rightChars="0" w:hanging="156" w:firstLineChars="0"/>
              <w:rPr>
                <w:rFonts w:hint="eastAsia" w:ascii="仿宋" w:hAnsi="仿宋" w:eastAsia="仿宋" w:cs="仿宋"/>
                <w:color w:val="000000"/>
                <w:kern w:val="0"/>
                <w:szCs w:val="21"/>
                <w:highlight w:val="none"/>
              </w:rPr>
            </w:pPr>
            <w:r>
              <w:rPr>
                <w:rFonts w:hint="eastAsia" w:ascii="仿宋" w:hAnsi="仿宋" w:eastAsia="仿宋" w:cs="仿宋"/>
                <w:color w:val="000000"/>
                <w:kern w:val="0"/>
                <w:szCs w:val="21"/>
                <w:highlight w:val="none"/>
              </w:rPr>
              <w:t>标</w:t>
            </w:r>
          </w:p>
          <w:p>
            <w:pPr>
              <w:pStyle w:val="6"/>
              <w:spacing w:line="321" w:lineRule="auto"/>
              <w:ind w:left="299" w:leftChars="0" w:right="131" w:rightChars="0" w:hanging="156" w:firstLineChars="0"/>
              <w:rPr>
                <w:rFonts w:hint="eastAsia" w:ascii="仿宋" w:hAnsi="仿宋" w:eastAsia="仿宋" w:cs="仿宋"/>
                <w:color w:val="000000"/>
                <w:szCs w:val="21"/>
                <w:highlight w:val="none"/>
              </w:rPr>
            </w:pPr>
            <w:r>
              <w:rPr>
                <w:rFonts w:hint="eastAsia" w:ascii="仿宋" w:hAnsi="仿宋" w:eastAsia="仿宋" w:cs="仿宋"/>
                <w:color w:val="000000"/>
                <w:kern w:val="0"/>
                <w:szCs w:val="21"/>
                <w:highlight w:val="none"/>
              </w:rPr>
              <w:t>准</w:t>
            </w:r>
          </w:p>
        </w:tc>
        <w:tc>
          <w:tcPr>
            <w:tcW w:w="7920" w:type="dxa"/>
            <w:vAlign w:val="center"/>
          </w:tcPr>
          <w:p>
            <w:pPr>
              <w:pStyle w:val="6"/>
              <w:spacing w:before="89" w:beforeLines="0" w:line="321" w:lineRule="auto"/>
              <w:ind w:left="108" w:right="81" w:firstLine="420"/>
              <w:rPr>
                <w:rFonts w:hint="eastAsia" w:ascii="仿宋" w:hAnsi="仿宋" w:eastAsia="仿宋" w:cs="仿宋"/>
                <w:sz w:val="24"/>
                <w:szCs w:val="24"/>
                <w:highlight w:val="none"/>
              </w:rPr>
            </w:pPr>
            <w:r>
              <w:rPr>
                <w:rFonts w:hint="eastAsia" w:ascii="仿宋" w:hAnsi="仿宋" w:eastAsia="仿宋" w:cs="仿宋"/>
                <w:sz w:val="24"/>
                <w:szCs w:val="24"/>
                <w:highlight w:val="none"/>
              </w:rPr>
              <w:t>（1）投标人具备有效的营业执照、组织机构代码证</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如有</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、资质证书、安全生产许可证和基本账户开户许可证。</w:t>
            </w:r>
          </w:p>
          <w:p>
            <w:pPr>
              <w:pStyle w:val="6"/>
              <w:spacing w:line="268" w:lineRule="exact"/>
              <w:ind w:left="528"/>
              <w:rPr>
                <w:rFonts w:hint="eastAsia" w:ascii="仿宋" w:hAnsi="仿宋" w:eastAsia="仿宋" w:cs="仿宋"/>
                <w:sz w:val="24"/>
                <w:szCs w:val="24"/>
                <w:highlight w:val="none"/>
              </w:rPr>
            </w:pPr>
            <w:r>
              <w:rPr>
                <w:rFonts w:hint="eastAsia" w:ascii="仿宋" w:hAnsi="仿宋" w:eastAsia="仿宋" w:cs="仿宋"/>
                <w:sz w:val="24"/>
                <w:szCs w:val="24"/>
                <w:highlight w:val="none"/>
              </w:rPr>
              <w:t>（2）投标人的资质等级符合招标文件规定。</w:t>
            </w:r>
          </w:p>
          <w:p>
            <w:pPr>
              <w:pStyle w:val="6"/>
              <w:spacing w:before="91" w:beforeLines="0"/>
              <w:ind w:left="528"/>
              <w:rPr>
                <w:rFonts w:hint="eastAsia" w:ascii="仿宋" w:hAnsi="仿宋" w:eastAsia="仿宋" w:cs="仿宋"/>
                <w:sz w:val="24"/>
                <w:szCs w:val="24"/>
                <w:highlight w:val="none"/>
              </w:rPr>
            </w:pPr>
            <w:r>
              <w:rPr>
                <w:rFonts w:hint="eastAsia" w:ascii="仿宋" w:hAnsi="仿宋" w:eastAsia="仿宋" w:cs="仿宋"/>
                <w:sz w:val="24"/>
                <w:szCs w:val="24"/>
                <w:highlight w:val="none"/>
              </w:rPr>
              <w:t>（3）投标人的财务状况符合招标文件规定。</w:t>
            </w:r>
          </w:p>
          <w:p>
            <w:pPr>
              <w:pStyle w:val="6"/>
              <w:spacing w:before="92" w:beforeLines="0"/>
              <w:ind w:left="528"/>
              <w:rPr>
                <w:rFonts w:hint="eastAsia" w:ascii="仿宋" w:hAnsi="仿宋" w:eastAsia="仿宋" w:cs="仿宋"/>
                <w:sz w:val="24"/>
                <w:szCs w:val="24"/>
                <w:highlight w:val="none"/>
              </w:rPr>
            </w:pPr>
            <w:r>
              <w:rPr>
                <w:rFonts w:hint="eastAsia" w:ascii="仿宋" w:hAnsi="仿宋" w:eastAsia="仿宋" w:cs="仿宋"/>
                <w:sz w:val="24"/>
                <w:szCs w:val="24"/>
                <w:highlight w:val="none"/>
              </w:rPr>
              <w:t>（4）投标人的类似项目业绩符合招标文件规定。</w:t>
            </w:r>
          </w:p>
          <w:p>
            <w:pPr>
              <w:spacing w:line="360" w:lineRule="auto"/>
              <w:ind w:firstLine="390"/>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rPr>
              <w:t>（5）投标人的信誉符合招标文件规定。</w:t>
            </w:r>
          </w:p>
          <w:p>
            <w:pPr>
              <w:pStyle w:val="6"/>
              <w:spacing w:before="89" w:beforeLines="0" w:line="321" w:lineRule="auto"/>
              <w:ind w:left="108" w:right="50" w:firstLine="420"/>
              <w:rPr>
                <w:rFonts w:hint="eastAsia" w:ascii="仿宋" w:hAnsi="仿宋" w:eastAsia="仿宋" w:cs="仿宋"/>
                <w:sz w:val="18"/>
                <w:szCs w:val="18"/>
                <w:highlight w:val="none"/>
              </w:rPr>
            </w:pPr>
            <w:r>
              <w:rPr>
                <w:rFonts w:hint="eastAsia" w:ascii="仿宋" w:hAnsi="仿宋" w:eastAsia="仿宋" w:cs="仿宋"/>
                <w:sz w:val="24"/>
                <w:szCs w:val="24"/>
                <w:highlight w:val="none"/>
              </w:rPr>
              <w:t>（6）投标人的项目经理和项目总工资格、在岗情况符合招标文件规定。</w:t>
            </w:r>
          </w:p>
          <w:p>
            <w:pPr>
              <w:pStyle w:val="6"/>
              <w:spacing w:line="268" w:lineRule="exact"/>
              <w:ind w:left="528"/>
              <w:rPr>
                <w:rFonts w:hint="eastAsia" w:ascii="仿宋" w:hAnsi="仿宋" w:eastAsia="仿宋" w:cs="仿宋"/>
                <w:sz w:val="18"/>
                <w:szCs w:val="18"/>
                <w:highlight w:val="none"/>
              </w:rPr>
            </w:pPr>
            <w:r>
              <w:rPr>
                <w:rFonts w:hint="eastAsia" w:ascii="仿宋" w:hAnsi="仿宋" w:eastAsia="仿宋" w:cs="仿宋"/>
                <w:sz w:val="24"/>
                <w:szCs w:val="24"/>
                <w:highlight w:val="none"/>
              </w:rPr>
              <w:t>（7）投标人的其他要求符合招标文件规定</w:t>
            </w:r>
            <w:r>
              <w:rPr>
                <w:rFonts w:hint="eastAsia" w:ascii="仿宋" w:hAnsi="仿宋" w:eastAsia="仿宋" w:cs="仿宋"/>
                <w:sz w:val="18"/>
                <w:szCs w:val="18"/>
                <w:highlight w:val="none"/>
              </w:rPr>
              <w:t>。</w:t>
            </w:r>
          </w:p>
          <w:p>
            <w:pPr>
              <w:pStyle w:val="6"/>
              <w:spacing w:before="91" w:beforeLines="0" w:line="321" w:lineRule="auto"/>
              <w:ind w:left="108" w:right="93" w:firstLine="420"/>
              <w:rPr>
                <w:rFonts w:hint="eastAsia" w:ascii="仿宋" w:hAnsi="仿宋" w:eastAsia="仿宋" w:cs="仿宋"/>
                <w:sz w:val="24"/>
                <w:szCs w:val="24"/>
                <w:highlight w:val="none"/>
              </w:rPr>
            </w:pPr>
            <w:r>
              <w:rPr>
                <w:rFonts w:hint="eastAsia" w:ascii="仿宋" w:hAnsi="仿宋" w:eastAsia="仿宋" w:cs="仿宋"/>
                <w:sz w:val="24"/>
                <w:szCs w:val="24"/>
                <w:highlight w:val="none"/>
              </w:rPr>
              <w:t>（8）</w:t>
            </w:r>
            <w:r>
              <w:rPr>
                <w:rFonts w:hint="eastAsia" w:ascii="仿宋" w:hAnsi="仿宋" w:eastAsia="仿宋" w:cs="仿宋"/>
                <w:spacing w:val="-3"/>
                <w:sz w:val="24"/>
                <w:szCs w:val="24"/>
                <w:highlight w:val="none"/>
              </w:rPr>
              <w:t>投标人不存在第二章</w:t>
            </w:r>
            <w:r>
              <w:rPr>
                <w:rFonts w:hint="eastAsia" w:ascii="仿宋" w:hAnsi="仿宋" w:eastAsia="仿宋" w:cs="仿宋"/>
                <w:sz w:val="24"/>
                <w:szCs w:val="24"/>
                <w:highlight w:val="none"/>
              </w:rPr>
              <w:t>“</w:t>
            </w:r>
            <w:r>
              <w:rPr>
                <w:rFonts w:hint="eastAsia" w:ascii="仿宋" w:hAnsi="仿宋" w:eastAsia="仿宋" w:cs="仿宋"/>
                <w:spacing w:val="-3"/>
                <w:sz w:val="24"/>
                <w:szCs w:val="24"/>
                <w:highlight w:val="none"/>
              </w:rPr>
              <w:t>投标人须知</w:t>
            </w:r>
            <w:r>
              <w:rPr>
                <w:rFonts w:hint="eastAsia" w:ascii="仿宋" w:hAnsi="仿宋" w:eastAsia="仿宋" w:cs="仿宋"/>
                <w:sz w:val="24"/>
                <w:szCs w:val="24"/>
                <w:highlight w:val="none"/>
              </w:rPr>
              <w:t>”</w:t>
            </w:r>
            <w:r>
              <w:rPr>
                <w:rFonts w:hint="eastAsia" w:ascii="仿宋" w:hAnsi="仿宋" w:eastAsia="仿宋" w:cs="仿宋"/>
                <w:spacing w:val="-23"/>
                <w:sz w:val="24"/>
                <w:szCs w:val="24"/>
                <w:highlight w:val="none"/>
              </w:rPr>
              <w:t xml:space="preserve">第 </w:t>
            </w:r>
            <w:r>
              <w:rPr>
                <w:rFonts w:hint="eastAsia" w:ascii="仿宋" w:hAnsi="仿宋" w:eastAsia="仿宋" w:cs="仿宋"/>
                <w:sz w:val="24"/>
                <w:szCs w:val="24"/>
                <w:highlight w:val="none"/>
              </w:rPr>
              <w:t xml:space="preserve">1.4.3 </w:t>
            </w:r>
            <w:r>
              <w:rPr>
                <w:rFonts w:hint="eastAsia" w:ascii="仿宋" w:hAnsi="仿宋" w:eastAsia="仿宋" w:cs="仿宋"/>
                <w:spacing w:val="-13"/>
                <w:sz w:val="24"/>
                <w:szCs w:val="24"/>
                <w:highlight w:val="none"/>
              </w:rPr>
              <w:t xml:space="preserve">项或第 </w:t>
            </w:r>
            <w:r>
              <w:rPr>
                <w:rFonts w:hint="eastAsia" w:ascii="仿宋" w:hAnsi="仿宋" w:eastAsia="仿宋" w:cs="仿宋"/>
                <w:sz w:val="24"/>
                <w:szCs w:val="24"/>
                <w:highlight w:val="none"/>
              </w:rPr>
              <w:t>1.4.4 项规</w:t>
            </w:r>
            <w:r>
              <w:rPr>
                <w:rFonts w:hint="eastAsia" w:ascii="仿宋" w:hAnsi="仿宋" w:eastAsia="仿宋" w:cs="仿宋"/>
                <w:spacing w:val="-3"/>
                <w:sz w:val="24"/>
                <w:szCs w:val="24"/>
                <w:highlight w:val="none"/>
              </w:rPr>
              <w:t>定的任何一种情形。</w:t>
            </w:r>
          </w:p>
          <w:p>
            <w:pPr>
              <w:pStyle w:val="6"/>
              <w:spacing w:line="269" w:lineRule="exact"/>
              <w:ind w:left="528"/>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（9）投标人符合第二章“投标人须知”第 1.4.5 项规定。</w:t>
            </w:r>
          </w:p>
          <w:p>
            <w:pPr>
              <w:spacing w:line="360" w:lineRule="auto"/>
              <w:ind w:firstLine="390"/>
              <w:rPr>
                <w:rFonts w:hint="eastAsia" w:ascii="仿宋" w:hAnsi="仿宋" w:eastAsia="仿宋" w:cs="仿宋"/>
                <w:sz w:val="21"/>
                <w:highlight w:val="none"/>
                <w:lang w:val="en-US" w:eastAsia="zh-CN"/>
              </w:rPr>
            </w:pPr>
          </w:p>
        </w:tc>
      </w:tr>
    </w:tbl>
    <w:p>
      <w:pPr>
        <w:spacing w:before="148" w:beforeLines="0"/>
        <w:ind w:left="424" w:right="0" w:firstLine="0"/>
        <w:jc w:val="left"/>
        <w:rPr>
          <w:rFonts w:hint="eastAsia" w:ascii="仿宋" w:hAnsi="仿宋" w:eastAsia="仿宋" w:cs="仿宋"/>
          <w:position w:val="8"/>
          <w:sz w:val="9"/>
          <w:highlight w:val="none"/>
        </w:rPr>
      </w:pPr>
    </w:p>
    <w:p>
      <w:pPr>
        <w:spacing w:before="148" w:beforeLines="0"/>
        <w:ind w:left="424" w:right="0" w:firstLine="0"/>
        <w:jc w:val="left"/>
        <w:rPr>
          <w:rFonts w:hint="eastAsia" w:ascii="仿宋" w:hAnsi="仿宋" w:eastAsia="仿宋" w:cs="仿宋"/>
          <w:position w:val="8"/>
          <w:sz w:val="9"/>
          <w:highlight w:val="none"/>
        </w:rPr>
      </w:pPr>
    </w:p>
    <w:p>
      <w:pPr>
        <w:spacing w:before="89" w:beforeLines="0" w:line="331" w:lineRule="auto"/>
        <w:ind w:left="604" w:right="459" w:hanging="180"/>
        <w:jc w:val="left"/>
        <w:rPr>
          <w:rFonts w:hint="eastAsia" w:ascii="仿宋" w:hAnsi="仿宋" w:eastAsia="仿宋" w:cs="仿宋"/>
          <w:sz w:val="18"/>
          <w:highlight w:val="none"/>
        </w:rPr>
      </w:pPr>
      <w:r>
        <w:rPr>
          <w:rFonts w:hint="eastAsia" w:ascii="仿宋" w:hAnsi="仿宋" w:eastAsia="仿宋" w:cs="仿宋"/>
          <w:color w:val="FF6600"/>
          <w:position w:val="10"/>
          <w:sz w:val="18"/>
          <w:szCs w:val="18"/>
          <w:highlight w:val="none"/>
        </w:rPr>
        <w:t>①</w:t>
      </w:r>
      <w:r>
        <w:rPr>
          <w:rFonts w:hint="eastAsia" w:ascii="仿宋" w:hAnsi="仿宋" w:eastAsia="仿宋" w:cs="仿宋"/>
          <w:sz w:val="18"/>
          <w:highlight w:val="none"/>
        </w:rPr>
        <w:t>本款规定仅适用于根据《关于发布公路工程从业企业资质名录的通知》（厅公路字〔2011〕114 号）要求， 招标人应通过名录对投标人资质条件进行审核的公路施工企业。</w:t>
      </w:r>
    </w:p>
    <w:p>
      <w:pPr>
        <w:spacing w:before="89" w:beforeLines="0" w:line="331" w:lineRule="auto"/>
        <w:ind w:left="604" w:right="459" w:hanging="180"/>
        <w:jc w:val="left"/>
        <w:rPr>
          <w:rFonts w:hint="eastAsia" w:ascii="仿宋" w:hAnsi="仿宋" w:eastAsia="仿宋" w:cs="仿宋"/>
          <w:sz w:val="18"/>
          <w:highlight w:val="none"/>
        </w:rPr>
      </w:pPr>
    </w:p>
    <w:p>
      <w:pPr>
        <w:spacing w:before="89" w:beforeLines="0" w:line="331" w:lineRule="auto"/>
        <w:ind w:left="604" w:right="459" w:hanging="180"/>
        <w:jc w:val="left"/>
        <w:rPr>
          <w:rFonts w:hint="eastAsia" w:ascii="仿宋" w:hAnsi="仿宋" w:eastAsia="仿宋" w:cs="仿宋"/>
          <w:sz w:val="18"/>
          <w:highlight w:val="none"/>
        </w:rPr>
      </w:pPr>
    </w:p>
    <w:p>
      <w:pPr>
        <w:spacing w:before="89" w:beforeLines="0" w:line="331" w:lineRule="auto"/>
        <w:ind w:left="604" w:right="459" w:hanging="180"/>
        <w:jc w:val="left"/>
        <w:rPr>
          <w:rFonts w:hint="eastAsia" w:ascii="仿宋" w:hAnsi="仿宋" w:eastAsia="仿宋" w:cs="仿宋"/>
          <w:sz w:val="18"/>
          <w:highlight w:val="none"/>
        </w:rPr>
      </w:pPr>
    </w:p>
    <w:p>
      <w:pPr>
        <w:spacing w:before="89" w:beforeLines="0" w:line="331" w:lineRule="auto"/>
        <w:ind w:left="604" w:right="459" w:hanging="180"/>
        <w:jc w:val="left"/>
        <w:rPr>
          <w:rFonts w:hint="eastAsia" w:ascii="仿宋" w:hAnsi="仿宋" w:eastAsia="仿宋" w:cs="仿宋"/>
          <w:sz w:val="18"/>
          <w:highlight w:val="none"/>
        </w:rPr>
      </w:pPr>
    </w:p>
    <w:p>
      <w:pPr>
        <w:spacing w:before="89" w:beforeLines="0" w:line="331" w:lineRule="auto"/>
        <w:ind w:left="604" w:right="459" w:hanging="180"/>
        <w:jc w:val="left"/>
        <w:rPr>
          <w:rFonts w:hint="eastAsia" w:ascii="仿宋" w:hAnsi="仿宋" w:eastAsia="仿宋" w:cs="仿宋"/>
          <w:sz w:val="18"/>
          <w:highlight w:val="none"/>
        </w:rPr>
      </w:pPr>
    </w:p>
    <w:p>
      <w:pPr>
        <w:spacing w:before="89" w:beforeLines="0" w:line="331" w:lineRule="auto"/>
        <w:ind w:left="604" w:right="459" w:hanging="180"/>
        <w:jc w:val="left"/>
        <w:rPr>
          <w:rFonts w:hint="eastAsia" w:ascii="仿宋" w:hAnsi="仿宋" w:eastAsia="仿宋" w:cs="仿宋"/>
          <w:sz w:val="18"/>
          <w:highlight w:val="none"/>
        </w:rPr>
      </w:pPr>
    </w:p>
    <w:p>
      <w:pPr>
        <w:spacing w:before="89" w:beforeLines="0" w:line="331" w:lineRule="auto"/>
        <w:ind w:left="604" w:right="459" w:hanging="180"/>
        <w:jc w:val="left"/>
        <w:rPr>
          <w:rFonts w:hint="eastAsia" w:ascii="仿宋" w:hAnsi="仿宋" w:eastAsia="仿宋" w:cs="仿宋"/>
          <w:sz w:val="18"/>
          <w:highlight w:val="none"/>
        </w:rPr>
      </w:pPr>
    </w:p>
    <w:p>
      <w:pPr>
        <w:spacing w:before="89" w:beforeLines="0" w:line="331" w:lineRule="auto"/>
        <w:ind w:left="604" w:right="459" w:hanging="180"/>
        <w:jc w:val="left"/>
        <w:rPr>
          <w:rFonts w:hint="eastAsia" w:ascii="仿宋" w:hAnsi="仿宋" w:eastAsia="仿宋" w:cs="仿宋"/>
          <w:sz w:val="18"/>
          <w:highlight w:val="none"/>
        </w:rPr>
      </w:pPr>
    </w:p>
    <w:p>
      <w:pPr>
        <w:spacing w:before="89" w:beforeLines="0" w:line="331" w:lineRule="auto"/>
        <w:ind w:left="604" w:right="459" w:hanging="180"/>
        <w:jc w:val="left"/>
        <w:rPr>
          <w:rFonts w:hint="eastAsia" w:ascii="仿宋" w:hAnsi="仿宋" w:eastAsia="仿宋" w:cs="仿宋"/>
          <w:sz w:val="18"/>
          <w:highlight w:val="none"/>
        </w:rPr>
      </w:pPr>
    </w:p>
    <w:p>
      <w:pPr>
        <w:spacing w:before="89" w:beforeLines="0" w:line="331" w:lineRule="auto"/>
        <w:ind w:left="604" w:right="459" w:hanging="180"/>
        <w:jc w:val="left"/>
        <w:rPr>
          <w:rFonts w:hint="eastAsia" w:ascii="仿宋" w:hAnsi="仿宋" w:eastAsia="仿宋" w:cs="仿宋"/>
          <w:sz w:val="18"/>
          <w:highlight w:val="none"/>
        </w:rPr>
      </w:pPr>
    </w:p>
    <w:p>
      <w:pPr>
        <w:spacing w:before="89" w:beforeLines="0" w:line="331" w:lineRule="auto"/>
        <w:ind w:left="604" w:right="459" w:hanging="180"/>
        <w:jc w:val="left"/>
        <w:rPr>
          <w:rFonts w:hint="eastAsia" w:ascii="仿宋" w:hAnsi="仿宋" w:eastAsia="仿宋" w:cs="仿宋"/>
          <w:sz w:val="18"/>
          <w:highlight w:val="none"/>
        </w:rPr>
      </w:pPr>
    </w:p>
    <w:p>
      <w:pPr>
        <w:spacing w:before="89" w:beforeLines="0" w:line="331" w:lineRule="auto"/>
        <w:ind w:left="604" w:right="459" w:hanging="180"/>
        <w:jc w:val="left"/>
        <w:rPr>
          <w:rFonts w:hint="eastAsia" w:ascii="仿宋" w:hAnsi="仿宋" w:eastAsia="仿宋" w:cs="仿宋"/>
          <w:sz w:val="18"/>
          <w:highlight w:val="none"/>
        </w:rPr>
      </w:pPr>
    </w:p>
    <w:p>
      <w:pPr>
        <w:spacing w:before="89" w:beforeLines="0" w:line="331" w:lineRule="auto"/>
        <w:ind w:left="604" w:right="459" w:hanging="180"/>
        <w:jc w:val="left"/>
        <w:rPr>
          <w:rFonts w:hint="eastAsia" w:ascii="仿宋" w:hAnsi="仿宋" w:eastAsia="仿宋" w:cs="仿宋"/>
          <w:sz w:val="18"/>
          <w:highlight w:val="none"/>
        </w:rPr>
      </w:pPr>
    </w:p>
    <w:p>
      <w:pPr>
        <w:spacing w:before="89" w:beforeLines="0" w:line="331" w:lineRule="auto"/>
        <w:ind w:left="604" w:right="459" w:hanging="180"/>
        <w:jc w:val="left"/>
        <w:rPr>
          <w:rFonts w:hint="eastAsia" w:ascii="仿宋" w:hAnsi="仿宋" w:eastAsia="仿宋" w:cs="仿宋"/>
          <w:sz w:val="18"/>
          <w:highlight w:val="none"/>
        </w:rPr>
      </w:pPr>
    </w:p>
    <w:p>
      <w:pPr>
        <w:rPr>
          <w:rFonts w:hint="eastAsia" w:ascii="仿宋" w:hAnsi="仿宋" w:eastAsia="仿宋" w:cs="仿宋"/>
          <w:color w:val="auto"/>
          <w:szCs w:val="24"/>
          <w:highlight w:val="none"/>
        </w:rPr>
      </w:pPr>
    </w:p>
    <w:tbl>
      <w:tblPr>
        <w:tblStyle w:val="4"/>
        <w:tblpPr w:leftFromText="180" w:rightFromText="180" w:vertAnchor="text" w:horzAnchor="page" w:tblpX="1227" w:tblpY="358"/>
        <w:tblOverlap w:val="never"/>
        <w:tblW w:w="98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9"/>
        <w:gridCol w:w="1147"/>
        <w:gridCol w:w="785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86" w:hRule="atLeast"/>
        </w:trPr>
        <w:tc>
          <w:tcPr>
            <w:tcW w:w="1966" w:type="dxa"/>
            <w:gridSpan w:val="2"/>
            <w:vAlign w:val="center"/>
          </w:tcPr>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条款号</w:t>
            </w:r>
          </w:p>
        </w:tc>
        <w:tc>
          <w:tcPr>
            <w:tcW w:w="7854" w:type="dxa"/>
            <w:vAlign w:val="center"/>
          </w:tcPr>
          <w:p>
            <w:pPr>
              <w:ind w:left="0" w:leftChars="0" w:right="0" w:righ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评审因素与评审标准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48" w:hRule="atLeast"/>
        </w:trPr>
        <w:tc>
          <w:tcPr>
            <w:tcW w:w="819" w:type="dxa"/>
            <w:vAlign w:val="center"/>
          </w:tcPr>
          <w:p>
            <w:pPr>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2.2.1</w:t>
            </w:r>
          </w:p>
        </w:tc>
        <w:tc>
          <w:tcPr>
            <w:tcW w:w="1147" w:type="dxa"/>
            <w:vAlign w:val="center"/>
          </w:tcPr>
          <w:p>
            <w:pPr>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分值构成(总分 100 分)</w:t>
            </w:r>
          </w:p>
        </w:tc>
        <w:tc>
          <w:tcPr>
            <w:tcW w:w="7854" w:type="dxa"/>
            <w:vAlign w:val="center"/>
          </w:tcPr>
          <w:p>
            <w:pPr>
              <w:spacing w:line="360" w:lineRule="auto"/>
              <w:ind w:firstLine="120" w:firstLineChars="50"/>
              <w:rPr>
                <w:rFonts w:hint="eastAsia" w:ascii="仿宋" w:hAnsi="仿宋" w:eastAsia="仿宋" w:cs="仿宋"/>
                <w:b/>
                <w:bCs/>
                <w:color w:val="auto"/>
                <w:kern w:val="0"/>
                <w:sz w:val="24"/>
                <w:szCs w:val="24"/>
                <w:highlight w:val="none"/>
                <w:lang w:eastAsia="zh-CN"/>
              </w:rPr>
            </w:pPr>
            <w:r>
              <w:rPr>
                <w:rFonts w:hint="eastAsia" w:ascii="仿宋" w:hAnsi="仿宋" w:eastAsia="仿宋" w:cs="仿宋"/>
                <w:b/>
                <w:bCs/>
                <w:color w:val="auto"/>
                <w:kern w:val="0"/>
                <w:sz w:val="24"/>
                <w:szCs w:val="24"/>
                <w:highlight w:val="none"/>
                <w:lang w:eastAsia="zh-CN"/>
              </w:rPr>
              <w:t>一、第</w:t>
            </w:r>
            <w:r>
              <w:rPr>
                <w:rFonts w:hint="eastAsia" w:ascii="仿宋" w:hAnsi="仿宋" w:eastAsia="仿宋" w:cs="仿宋"/>
                <w:b/>
                <w:bCs/>
                <w:color w:val="auto"/>
                <w:kern w:val="0"/>
                <w:sz w:val="24"/>
                <w:szCs w:val="24"/>
                <w:highlight w:val="none"/>
                <w:lang w:val="en-US" w:eastAsia="zh-CN"/>
              </w:rPr>
              <w:t>1标段</w:t>
            </w:r>
          </w:p>
          <w:p>
            <w:pPr>
              <w:spacing w:line="360" w:lineRule="auto"/>
              <w:ind w:firstLine="120" w:firstLineChars="5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第一信封商务技术文件的分值：</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480" w:firstLineChars="200"/>
              <w:jc w:val="both"/>
              <w:textAlignment w:val="auto"/>
              <w:outlineLvl w:val="9"/>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施工组织设计（A）：</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u w:val="single" w:color="auto"/>
                <w:lang w:val="en-US" w:eastAsia="zh-CN"/>
              </w:rPr>
              <w:t>5</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rPr>
              <w:t>分</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480" w:firstLineChars="200"/>
              <w:jc w:val="both"/>
              <w:textAlignment w:val="auto"/>
              <w:outlineLvl w:val="9"/>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主要人员</w:t>
            </w:r>
            <w:r>
              <w:rPr>
                <w:rFonts w:hint="eastAsia" w:ascii="仿宋" w:hAnsi="仿宋" w:eastAsia="仿宋" w:cs="仿宋"/>
                <w:color w:val="auto"/>
                <w:kern w:val="0"/>
                <w:sz w:val="24"/>
                <w:szCs w:val="24"/>
                <w:highlight w:val="none"/>
              </w:rPr>
              <w:t xml:space="preserve"> (B)：</w:t>
            </w:r>
            <w:r>
              <w:rPr>
                <w:rFonts w:hint="eastAsia" w:ascii="仿宋" w:hAnsi="仿宋" w:eastAsia="仿宋" w:cs="仿宋"/>
                <w:color w:val="auto"/>
                <w:kern w:val="0"/>
                <w:sz w:val="24"/>
                <w:szCs w:val="24"/>
                <w:highlight w:val="none"/>
                <w:u w:val="single" w:color="auto"/>
              </w:rPr>
              <w:t xml:space="preserve"> 0 </w:t>
            </w:r>
            <w:r>
              <w:rPr>
                <w:rFonts w:hint="eastAsia" w:ascii="仿宋" w:hAnsi="仿宋" w:eastAsia="仿宋" w:cs="仿宋"/>
                <w:color w:val="auto"/>
                <w:kern w:val="0"/>
                <w:sz w:val="24"/>
                <w:szCs w:val="24"/>
                <w:highlight w:val="none"/>
              </w:rPr>
              <w:t>分</w:t>
            </w:r>
          </w:p>
          <w:p>
            <w:pPr>
              <w:spacing w:line="360" w:lineRule="auto"/>
              <w:ind w:firstLine="120" w:firstLineChars="5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其他因素 (D)</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480" w:firstLineChars="200"/>
              <w:jc w:val="both"/>
              <w:textAlignment w:val="auto"/>
              <w:outlineLvl w:val="9"/>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财务能力：</w:t>
            </w:r>
            <w:r>
              <w:rPr>
                <w:rFonts w:hint="eastAsia" w:ascii="仿宋" w:hAnsi="仿宋" w:eastAsia="仿宋" w:cs="仿宋"/>
                <w:color w:val="auto"/>
                <w:kern w:val="0"/>
                <w:sz w:val="24"/>
                <w:szCs w:val="24"/>
                <w:highlight w:val="none"/>
                <w:u w:val="single" w:color="auto"/>
                <w:lang w:val="en-US" w:eastAsia="zh-CN"/>
              </w:rPr>
              <w:t>0</w:t>
            </w:r>
            <w:r>
              <w:rPr>
                <w:rFonts w:hint="eastAsia" w:ascii="仿宋" w:hAnsi="仿宋" w:eastAsia="仿宋" w:cs="仿宋"/>
                <w:color w:val="auto"/>
                <w:kern w:val="0"/>
                <w:sz w:val="24"/>
                <w:szCs w:val="24"/>
                <w:highlight w:val="none"/>
              </w:rPr>
              <w:t>分</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480" w:firstLineChars="200"/>
              <w:jc w:val="both"/>
              <w:textAlignment w:val="auto"/>
              <w:outlineLvl w:val="9"/>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业 绩：</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u w:val="single" w:color="auto"/>
                <w:lang w:val="en-US" w:eastAsia="zh-CN"/>
              </w:rPr>
              <w:t>3</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rPr>
              <w:t>分</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480" w:firstLineChars="200"/>
              <w:jc w:val="both"/>
              <w:textAlignment w:val="auto"/>
              <w:outlineLvl w:val="9"/>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机械设备：</w:t>
            </w:r>
            <w:r>
              <w:rPr>
                <w:rFonts w:hint="eastAsia" w:ascii="仿宋" w:hAnsi="仿宋" w:eastAsia="仿宋" w:cs="仿宋"/>
                <w:color w:val="auto"/>
                <w:kern w:val="0"/>
                <w:sz w:val="24"/>
                <w:szCs w:val="24"/>
                <w:highlight w:val="none"/>
                <w:u w:val="single"/>
                <w:lang w:val="en-US" w:eastAsia="zh-CN"/>
              </w:rPr>
              <w:t>2</w:t>
            </w:r>
            <w:r>
              <w:rPr>
                <w:rFonts w:hint="eastAsia" w:ascii="仿宋" w:hAnsi="仿宋" w:eastAsia="仿宋" w:cs="仿宋"/>
                <w:color w:val="auto"/>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480" w:firstLineChars="200"/>
              <w:jc w:val="both"/>
              <w:textAlignment w:val="auto"/>
              <w:outlineLvl w:val="9"/>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履约信誉：</w:t>
            </w:r>
            <w:r>
              <w:rPr>
                <w:rFonts w:hint="eastAsia" w:ascii="仿宋" w:hAnsi="仿宋" w:eastAsia="仿宋" w:cs="仿宋"/>
                <w:color w:val="auto"/>
                <w:kern w:val="0"/>
                <w:sz w:val="24"/>
                <w:szCs w:val="24"/>
                <w:highlight w:val="none"/>
                <w:u w:val="single" w:color="auto"/>
                <w:lang w:val="en-US" w:eastAsia="zh-CN"/>
              </w:rPr>
              <w:t>10</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rPr>
              <w:t>分</w:t>
            </w:r>
          </w:p>
          <w:p>
            <w:pPr>
              <w:spacing w:line="360" w:lineRule="auto"/>
              <w:ind w:firstLine="120" w:firstLineChars="5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第二信封报价（评标价）的分值(C)：</w:t>
            </w:r>
          </w:p>
          <w:p>
            <w:pPr>
              <w:spacing w:line="360" w:lineRule="auto"/>
              <w:ind w:firstLine="240" w:firstLineChars="1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评标价： 80 分</w:t>
            </w:r>
          </w:p>
          <w:p>
            <w:pPr>
              <w:spacing w:line="360" w:lineRule="auto"/>
              <w:ind w:firstLine="120" w:firstLineChars="50"/>
              <w:rPr>
                <w:rFonts w:hint="eastAsia" w:ascii="仿宋" w:hAnsi="仿宋" w:eastAsia="仿宋" w:cs="仿宋"/>
                <w:b/>
                <w:bCs/>
                <w:color w:val="auto"/>
                <w:kern w:val="0"/>
                <w:sz w:val="24"/>
                <w:szCs w:val="24"/>
                <w:highlight w:val="none"/>
                <w:lang w:eastAsia="zh-CN"/>
              </w:rPr>
            </w:pPr>
            <w:r>
              <w:rPr>
                <w:rFonts w:hint="eastAsia" w:ascii="仿宋" w:hAnsi="仿宋" w:eastAsia="仿宋" w:cs="仿宋"/>
                <w:b/>
                <w:bCs/>
                <w:color w:val="auto"/>
                <w:kern w:val="0"/>
                <w:sz w:val="24"/>
                <w:szCs w:val="24"/>
                <w:highlight w:val="none"/>
                <w:lang w:eastAsia="zh-CN"/>
              </w:rPr>
              <w:t>一、第</w:t>
            </w:r>
            <w:r>
              <w:rPr>
                <w:rFonts w:hint="eastAsia" w:ascii="仿宋" w:hAnsi="仿宋" w:eastAsia="仿宋" w:cs="仿宋"/>
                <w:b/>
                <w:bCs/>
                <w:color w:val="auto"/>
                <w:kern w:val="0"/>
                <w:sz w:val="24"/>
                <w:szCs w:val="24"/>
                <w:highlight w:val="none"/>
                <w:lang w:val="en-US" w:eastAsia="zh-CN"/>
              </w:rPr>
              <w:t>2、3标段</w:t>
            </w:r>
          </w:p>
          <w:p>
            <w:pPr>
              <w:spacing w:line="360" w:lineRule="auto"/>
              <w:ind w:firstLine="120" w:firstLineChars="5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第一信封商务技术文件的分值：</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480" w:firstLineChars="200"/>
              <w:jc w:val="both"/>
              <w:textAlignment w:val="auto"/>
              <w:outlineLvl w:val="9"/>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施工组织设计（A）：</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u w:val="single" w:color="auto"/>
                <w:lang w:val="en-US" w:eastAsia="zh-CN"/>
              </w:rPr>
              <w:t>7</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rPr>
              <w:t>分</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480" w:firstLineChars="200"/>
              <w:jc w:val="both"/>
              <w:textAlignment w:val="auto"/>
              <w:outlineLvl w:val="9"/>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主要人员</w:t>
            </w:r>
            <w:r>
              <w:rPr>
                <w:rFonts w:hint="eastAsia" w:ascii="仿宋" w:hAnsi="仿宋" w:eastAsia="仿宋" w:cs="仿宋"/>
                <w:color w:val="auto"/>
                <w:kern w:val="0"/>
                <w:sz w:val="24"/>
                <w:szCs w:val="24"/>
                <w:highlight w:val="none"/>
              </w:rPr>
              <w:t xml:space="preserve"> (B)：</w:t>
            </w:r>
            <w:r>
              <w:rPr>
                <w:rFonts w:hint="eastAsia" w:ascii="仿宋" w:hAnsi="仿宋" w:eastAsia="仿宋" w:cs="仿宋"/>
                <w:color w:val="auto"/>
                <w:kern w:val="0"/>
                <w:sz w:val="24"/>
                <w:szCs w:val="24"/>
                <w:highlight w:val="none"/>
                <w:u w:val="single" w:color="auto"/>
              </w:rPr>
              <w:t xml:space="preserve"> 0 </w:t>
            </w:r>
            <w:r>
              <w:rPr>
                <w:rFonts w:hint="eastAsia" w:ascii="仿宋" w:hAnsi="仿宋" w:eastAsia="仿宋" w:cs="仿宋"/>
                <w:color w:val="auto"/>
                <w:kern w:val="0"/>
                <w:sz w:val="24"/>
                <w:szCs w:val="24"/>
                <w:highlight w:val="none"/>
              </w:rPr>
              <w:t>分</w:t>
            </w:r>
          </w:p>
          <w:p>
            <w:pPr>
              <w:spacing w:line="360" w:lineRule="auto"/>
              <w:ind w:firstLine="120" w:firstLineChars="5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其他因素 (D)</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480" w:firstLineChars="200"/>
              <w:jc w:val="both"/>
              <w:textAlignment w:val="auto"/>
              <w:outlineLvl w:val="9"/>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财务能力：</w:t>
            </w:r>
            <w:r>
              <w:rPr>
                <w:rFonts w:hint="eastAsia" w:ascii="仿宋" w:hAnsi="仿宋" w:eastAsia="仿宋" w:cs="仿宋"/>
                <w:color w:val="auto"/>
                <w:kern w:val="0"/>
                <w:sz w:val="24"/>
                <w:szCs w:val="24"/>
                <w:highlight w:val="none"/>
                <w:u w:val="single" w:color="auto"/>
                <w:lang w:val="en-US" w:eastAsia="zh-CN"/>
              </w:rPr>
              <w:t>0</w:t>
            </w:r>
            <w:r>
              <w:rPr>
                <w:rFonts w:hint="eastAsia" w:ascii="仿宋" w:hAnsi="仿宋" w:eastAsia="仿宋" w:cs="仿宋"/>
                <w:color w:val="auto"/>
                <w:kern w:val="0"/>
                <w:sz w:val="24"/>
                <w:szCs w:val="24"/>
                <w:highlight w:val="none"/>
              </w:rPr>
              <w:t>分</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480" w:firstLineChars="200"/>
              <w:jc w:val="both"/>
              <w:textAlignment w:val="auto"/>
              <w:outlineLvl w:val="9"/>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业 绩：</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u w:val="single" w:color="auto"/>
                <w:lang w:val="en-US" w:eastAsia="zh-CN"/>
              </w:rPr>
              <w:t>3</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rPr>
              <w:t>分</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480" w:firstLineChars="200"/>
              <w:jc w:val="both"/>
              <w:textAlignment w:val="auto"/>
              <w:outlineLvl w:val="9"/>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履约信誉：</w:t>
            </w:r>
            <w:r>
              <w:rPr>
                <w:rFonts w:hint="eastAsia" w:ascii="仿宋" w:hAnsi="仿宋" w:eastAsia="仿宋" w:cs="仿宋"/>
                <w:color w:val="auto"/>
                <w:kern w:val="0"/>
                <w:sz w:val="24"/>
                <w:szCs w:val="24"/>
                <w:highlight w:val="none"/>
                <w:u w:val="single" w:color="auto"/>
                <w:lang w:val="en-US" w:eastAsia="zh-CN"/>
              </w:rPr>
              <w:t>10</w:t>
            </w:r>
            <w:r>
              <w:rPr>
                <w:rFonts w:hint="eastAsia" w:ascii="仿宋" w:hAnsi="仿宋" w:eastAsia="仿宋" w:cs="仿宋"/>
                <w:color w:val="auto"/>
                <w:kern w:val="0"/>
                <w:sz w:val="24"/>
                <w:szCs w:val="24"/>
                <w:highlight w:val="none"/>
                <w:u w:val="single" w:color="auto"/>
              </w:rPr>
              <w:t xml:space="preserve"> </w:t>
            </w:r>
            <w:r>
              <w:rPr>
                <w:rFonts w:hint="eastAsia" w:ascii="仿宋" w:hAnsi="仿宋" w:eastAsia="仿宋" w:cs="仿宋"/>
                <w:color w:val="auto"/>
                <w:kern w:val="0"/>
                <w:sz w:val="24"/>
                <w:szCs w:val="24"/>
                <w:highlight w:val="none"/>
              </w:rPr>
              <w:t>分</w:t>
            </w:r>
          </w:p>
          <w:p>
            <w:pPr>
              <w:spacing w:line="360" w:lineRule="auto"/>
              <w:ind w:firstLine="120" w:firstLineChars="5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第二信封报价（评标价）的分值(C)：</w:t>
            </w:r>
          </w:p>
          <w:p>
            <w:pPr>
              <w:spacing w:line="360" w:lineRule="auto"/>
              <w:ind w:firstLine="240" w:firstLineChars="1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评标价： 80 分</w:t>
            </w:r>
          </w:p>
          <w:p>
            <w:pPr>
              <w:spacing w:line="360" w:lineRule="auto"/>
              <w:ind w:firstLine="240" w:firstLineChars="100"/>
              <w:jc w:val="left"/>
              <w:rPr>
                <w:rFonts w:hint="eastAsia" w:ascii="仿宋" w:hAnsi="仿宋" w:eastAsia="仿宋" w:cs="仿宋"/>
                <w:color w:val="auto"/>
                <w:kern w:val="0"/>
                <w:sz w:val="24"/>
                <w:szCs w:val="24"/>
                <w:highlight w:val="none"/>
              </w:rPr>
            </w:pPr>
          </w:p>
          <w:p>
            <w:pPr>
              <w:spacing w:line="360" w:lineRule="auto"/>
              <w:ind w:firstLine="240" w:firstLineChars="100"/>
              <w:jc w:val="left"/>
              <w:rPr>
                <w:rFonts w:hint="eastAsia" w:ascii="仿宋" w:hAnsi="仿宋" w:eastAsia="仿宋" w:cs="仿宋"/>
                <w:color w:val="auto"/>
                <w:kern w:val="0"/>
                <w:sz w:val="24"/>
                <w:szCs w:val="24"/>
                <w:highlight w:val="none"/>
              </w:rPr>
            </w:pPr>
          </w:p>
          <w:p>
            <w:pPr>
              <w:spacing w:line="360" w:lineRule="auto"/>
              <w:ind w:firstLine="240" w:firstLineChars="100"/>
              <w:jc w:val="left"/>
              <w:rPr>
                <w:rFonts w:hint="eastAsia" w:ascii="仿宋" w:hAnsi="仿宋" w:eastAsia="仿宋" w:cs="仿宋"/>
                <w:color w:val="auto"/>
                <w:kern w:val="0"/>
                <w:sz w:val="24"/>
                <w:szCs w:val="24"/>
                <w:highlight w:val="none"/>
              </w:rPr>
            </w:pPr>
          </w:p>
          <w:p>
            <w:pPr>
              <w:spacing w:line="360" w:lineRule="auto"/>
              <w:ind w:firstLine="240" w:firstLineChars="100"/>
              <w:jc w:val="left"/>
              <w:rPr>
                <w:rFonts w:hint="eastAsia" w:ascii="仿宋" w:hAnsi="仿宋" w:eastAsia="仿宋" w:cs="仿宋"/>
                <w:color w:val="auto"/>
                <w:kern w:val="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950" w:hRule="atLeast"/>
        </w:trPr>
        <w:tc>
          <w:tcPr>
            <w:tcW w:w="819" w:type="dxa"/>
            <w:vAlign w:val="center"/>
          </w:tcPr>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2.2.2</w:t>
            </w:r>
          </w:p>
        </w:tc>
        <w:tc>
          <w:tcPr>
            <w:tcW w:w="1147" w:type="dxa"/>
            <w:vAlign w:val="center"/>
          </w:tcPr>
          <w:p>
            <w:pP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评标基</w:t>
            </w:r>
          </w:p>
          <w:p>
            <w:pP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准价计</w:t>
            </w:r>
          </w:p>
          <w:p>
            <w:pP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算方法</w:t>
            </w:r>
          </w:p>
        </w:tc>
        <w:tc>
          <w:tcPr>
            <w:tcW w:w="7854" w:type="dxa"/>
            <w:vAlign w:val="center"/>
          </w:tcPr>
          <w:p>
            <w:pPr>
              <w:spacing w:line="360" w:lineRule="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评标基准价的计算：</w:t>
            </w:r>
          </w:p>
          <w:p>
            <w:pPr>
              <w:spacing w:line="360" w:lineRule="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 评标价的确定：</w:t>
            </w:r>
          </w:p>
          <w:p>
            <w:pPr>
              <w:spacing w:line="360" w:lineRule="auto"/>
              <w:ind w:firstLine="120" w:firstLineChars="5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投标人评标价＝投标函文字报价</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jc w:val="both"/>
              <w:textAlignment w:val="auto"/>
              <w:outlineLvl w:val="9"/>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(2) </w:t>
            </w:r>
            <w:r>
              <w:rPr>
                <w:rFonts w:hint="eastAsia" w:ascii="仿宋" w:hAnsi="仿宋" w:eastAsia="仿宋" w:cs="仿宋"/>
                <w:color w:val="auto"/>
                <w:kern w:val="0"/>
                <w:sz w:val="24"/>
                <w:szCs w:val="24"/>
                <w:highlight w:val="none"/>
                <w:lang w:eastAsia="zh-CN"/>
              </w:rPr>
              <w:t>标段</w:t>
            </w:r>
            <w:r>
              <w:rPr>
                <w:rFonts w:hint="eastAsia" w:ascii="仿宋" w:hAnsi="仿宋" w:eastAsia="仿宋" w:cs="仿宋"/>
                <w:color w:val="auto"/>
                <w:kern w:val="0"/>
                <w:sz w:val="24"/>
                <w:szCs w:val="24"/>
                <w:highlight w:val="none"/>
              </w:rPr>
              <w:t>最高</w:t>
            </w:r>
            <w:r>
              <w:rPr>
                <w:rFonts w:hint="eastAsia" w:ascii="仿宋" w:hAnsi="仿宋" w:eastAsia="仿宋" w:cs="仿宋"/>
                <w:color w:val="auto"/>
                <w:kern w:val="0"/>
                <w:sz w:val="24"/>
                <w:szCs w:val="24"/>
                <w:highlight w:val="none"/>
                <w:lang w:val="en-US" w:eastAsia="zh-CN"/>
              </w:rPr>
              <w:t>评</w:t>
            </w:r>
            <w:r>
              <w:rPr>
                <w:rFonts w:hint="eastAsia" w:ascii="仿宋" w:hAnsi="仿宋" w:eastAsia="仿宋" w:cs="仿宋"/>
                <w:color w:val="auto"/>
                <w:kern w:val="0"/>
                <w:sz w:val="24"/>
                <w:szCs w:val="24"/>
                <w:highlight w:val="none"/>
              </w:rPr>
              <w:t>标限价的确定</w:t>
            </w:r>
            <w:r>
              <w:rPr>
                <w:rFonts w:hint="eastAsia" w:ascii="仿宋" w:hAnsi="仿宋" w:eastAsia="仿宋" w:cs="仿宋"/>
                <w:color w:val="auto"/>
                <w:kern w:val="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both"/>
              <w:textAlignment w:val="auto"/>
              <w:outlineLvl w:val="9"/>
              <w:rPr>
                <w:rFonts w:hint="eastAsia" w:ascii="仿宋" w:hAnsi="仿宋" w:eastAsia="仿宋" w:cs="仿宋"/>
                <w:color w:val="000000"/>
                <w:kern w:val="0"/>
                <w:sz w:val="24"/>
                <w:szCs w:val="24"/>
                <w:highlight w:val="none"/>
                <w:lang w:eastAsia="zh-CN"/>
              </w:rPr>
            </w:pP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招标人根据本招标文件规定的条件和标准，编制</w:t>
            </w:r>
            <w:r>
              <w:rPr>
                <w:rFonts w:hint="eastAsia" w:ascii="仿宋" w:hAnsi="仿宋" w:eastAsia="仿宋" w:cs="仿宋"/>
                <w:color w:val="auto"/>
                <w:kern w:val="0"/>
                <w:sz w:val="24"/>
                <w:szCs w:val="24"/>
                <w:highlight w:val="none"/>
                <w:lang w:eastAsia="zh-CN"/>
              </w:rPr>
              <w:t>工程</w:t>
            </w:r>
            <w:r>
              <w:rPr>
                <w:rFonts w:hint="eastAsia" w:ascii="仿宋" w:hAnsi="仿宋" w:eastAsia="仿宋" w:cs="仿宋"/>
                <w:color w:val="auto"/>
                <w:kern w:val="0"/>
                <w:sz w:val="24"/>
                <w:szCs w:val="24"/>
                <w:highlight w:val="none"/>
              </w:rPr>
              <w:t>预算价，经主管部门审核后确定的</w:t>
            </w:r>
            <w:r>
              <w:rPr>
                <w:rFonts w:hint="eastAsia" w:ascii="仿宋" w:hAnsi="仿宋" w:eastAsia="仿宋" w:cs="仿宋"/>
                <w:color w:val="auto"/>
                <w:kern w:val="0"/>
                <w:sz w:val="24"/>
                <w:szCs w:val="24"/>
                <w:highlight w:val="none"/>
                <w:lang w:eastAsia="zh-CN"/>
              </w:rPr>
              <w:t>招标人</w:t>
            </w:r>
            <w:r>
              <w:rPr>
                <w:rFonts w:hint="eastAsia" w:ascii="仿宋" w:hAnsi="仿宋" w:eastAsia="仿宋" w:cs="仿宋"/>
                <w:color w:val="auto"/>
                <w:kern w:val="0"/>
                <w:sz w:val="24"/>
                <w:szCs w:val="24"/>
                <w:highlight w:val="none"/>
              </w:rPr>
              <w:t>控</w:t>
            </w:r>
            <w:r>
              <w:rPr>
                <w:rFonts w:hint="eastAsia" w:ascii="仿宋" w:hAnsi="仿宋" w:eastAsia="仿宋" w:cs="仿宋"/>
                <w:color w:val="000000"/>
                <w:kern w:val="0"/>
                <w:sz w:val="24"/>
                <w:szCs w:val="24"/>
                <w:highlight w:val="none"/>
              </w:rPr>
              <w:t>制价</w:t>
            </w:r>
            <w:r>
              <w:rPr>
                <w:rFonts w:hint="eastAsia" w:ascii="仿宋" w:hAnsi="仿宋" w:eastAsia="仿宋" w:cs="仿宋"/>
                <w:color w:val="000000"/>
                <w:kern w:val="0"/>
                <w:sz w:val="24"/>
                <w:szCs w:val="24"/>
                <w:highlight w:val="none"/>
                <w:lang w:eastAsia="zh-CN"/>
              </w:rPr>
              <w:t>见下表：</w:t>
            </w:r>
          </w:p>
          <w:tbl>
            <w:tblPr>
              <w:tblStyle w:val="5"/>
              <w:tblW w:w="75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925"/>
              <w:gridCol w:w="3030"/>
              <w:gridCol w:w="1480"/>
              <w:gridCol w:w="1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55"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color w:val="000000"/>
                      <w:kern w:val="0"/>
                      <w:sz w:val="21"/>
                      <w:szCs w:val="21"/>
                      <w:highlight w:val="none"/>
                      <w:vertAlign w:val="baseline"/>
                      <w:lang w:eastAsia="zh-CN"/>
                    </w:rPr>
                    <w:t>标段</w:t>
                  </w:r>
                </w:p>
              </w:tc>
              <w:tc>
                <w:tcPr>
                  <w:tcW w:w="925"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color w:val="000000"/>
                      <w:kern w:val="0"/>
                      <w:sz w:val="21"/>
                      <w:szCs w:val="21"/>
                      <w:highlight w:val="none"/>
                      <w:vertAlign w:val="baseline"/>
                      <w:lang w:eastAsia="zh-CN"/>
                    </w:rPr>
                    <w:t>项目</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color w:val="000000"/>
                      <w:kern w:val="0"/>
                      <w:sz w:val="21"/>
                      <w:szCs w:val="21"/>
                      <w:highlight w:val="none"/>
                      <w:vertAlign w:val="baseline"/>
                      <w:lang w:eastAsia="zh-CN"/>
                    </w:rPr>
                    <w:t>公司</w:t>
                  </w:r>
                </w:p>
              </w:tc>
              <w:tc>
                <w:tcPr>
                  <w:tcW w:w="3030"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color w:val="000000"/>
                      <w:kern w:val="0"/>
                      <w:sz w:val="21"/>
                      <w:szCs w:val="21"/>
                      <w:highlight w:val="none"/>
                      <w:vertAlign w:val="baseline"/>
                      <w:lang w:eastAsia="zh-CN"/>
                    </w:rPr>
                    <w:t>合同段简称</w:t>
                  </w:r>
                </w:p>
              </w:tc>
              <w:tc>
                <w:tcPr>
                  <w:tcW w:w="1480"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color w:val="000000"/>
                      <w:kern w:val="0"/>
                      <w:sz w:val="21"/>
                      <w:szCs w:val="21"/>
                      <w:highlight w:val="none"/>
                      <w:vertAlign w:val="baseline"/>
                      <w:lang w:eastAsia="zh-CN"/>
                    </w:rPr>
                    <w:t>项目控制价（元）</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color w:val="000000"/>
                      <w:kern w:val="0"/>
                      <w:sz w:val="21"/>
                      <w:szCs w:val="21"/>
                      <w:highlight w:val="none"/>
                      <w:vertAlign w:val="baseline"/>
                      <w:lang w:eastAsia="zh-CN"/>
                    </w:rPr>
                    <w:t>标段控制价（元）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55" w:type="dxa"/>
                  <w:vMerge w:val="restart"/>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color w:val="000000"/>
                      <w:kern w:val="0"/>
                      <w:sz w:val="21"/>
                      <w:szCs w:val="21"/>
                      <w:highlight w:val="none"/>
                      <w:vertAlign w:val="baseline"/>
                      <w:lang w:val="en-US" w:eastAsia="zh-CN"/>
                    </w:rPr>
                    <w:t>1</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color w:val="000000"/>
                      <w:kern w:val="0"/>
                      <w:sz w:val="21"/>
                      <w:szCs w:val="21"/>
                      <w:highlight w:val="none"/>
                      <w:vertAlign w:val="baseline"/>
                      <w:lang w:val="en-US" w:eastAsia="zh-CN"/>
                    </w:rPr>
                    <w:t>标</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color w:val="000000"/>
                      <w:kern w:val="0"/>
                      <w:sz w:val="21"/>
                      <w:szCs w:val="21"/>
                      <w:highlight w:val="none"/>
                      <w:vertAlign w:val="baseline"/>
                      <w:lang w:val="en-US" w:eastAsia="zh-CN"/>
                    </w:rPr>
                    <w:t>段</w:t>
                  </w:r>
                </w:p>
              </w:tc>
              <w:tc>
                <w:tcPr>
                  <w:tcW w:w="925" w:type="dxa"/>
                  <w:vMerge w:val="restart"/>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r>
                    <w:rPr>
                      <w:rFonts w:hint="eastAsia" w:ascii="仿宋" w:hAnsi="仿宋" w:eastAsia="仿宋" w:cs="仿宋"/>
                      <w:i w:val="0"/>
                      <w:color w:val="000000"/>
                      <w:kern w:val="0"/>
                      <w:sz w:val="21"/>
                      <w:szCs w:val="21"/>
                      <w:highlight w:val="none"/>
                      <w:u w:val="none"/>
                      <w:lang w:val="en-US" w:eastAsia="zh-CN" w:bidi="ar"/>
                    </w:rPr>
                    <w:t>东线</w:t>
                  </w:r>
                </w:p>
              </w:tc>
              <w:tc>
                <w:tcPr>
                  <w:tcW w:w="3030" w:type="dxa"/>
                  <w:vAlign w:val="center"/>
                </w:tcPr>
                <w:p>
                  <w:pPr>
                    <w:keepNext w:val="0"/>
                    <w:keepLines w:val="0"/>
                    <w:widowControl/>
                    <w:suppressLineNumbers w:val="0"/>
                    <w:jc w:val="left"/>
                    <w:textAlignment w:val="center"/>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i w:val="0"/>
                      <w:color w:val="000000"/>
                      <w:kern w:val="0"/>
                      <w:sz w:val="21"/>
                      <w:szCs w:val="21"/>
                      <w:highlight w:val="none"/>
                      <w:u w:val="none"/>
                      <w:lang w:val="en-US" w:eastAsia="zh-CN" w:bidi="ar"/>
                    </w:rPr>
                    <w:t>2018年坦尾A、C匝道水泥桥面维修工程</w:t>
                  </w:r>
                </w:p>
              </w:tc>
              <w:tc>
                <w:tcPr>
                  <w:tcW w:w="1480" w:type="dxa"/>
                  <w:vAlign w:val="center"/>
                </w:tcPr>
                <w:p>
                  <w:pPr>
                    <w:keepNext w:val="0"/>
                    <w:keepLines w:val="0"/>
                    <w:widowControl/>
                    <w:suppressLineNumbers w:val="0"/>
                    <w:jc w:val="center"/>
                    <w:textAlignment w:val="center"/>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i w:val="0"/>
                      <w:color w:val="000000"/>
                      <w:kern w:val="0"/>
                      <w:sz w:val="21"/>
                      <w:szCs w:val="21"/>
                      <w:u w:val="none"/>
                      <w:lang w:val="en-US" w:eastAsia="zh-CN" w:bidi="ar"/>
                    </w:rPr>
                    <w:t>10583124</w:t>
                  </w:r>
                </w:p>
              </w:tc>
              <w:tc>
                <w:tcPr>
                  <w:tcW w:w="1391" w:type="dxa"/>
                  <w:vMerge w:val="restart"/>
                  <w:vAlign w:val="center"/>
                </w:tcPr>
                <w:p>
                  <w:pPr>
                    <w:keepNext w:val="0"/>
                    <w:keepLines w:val="0"/>
                    <w:widowControl/>
                    <w:suppressLineNumbers w:val="0"/>
                    <w:jc w:val="center"/>
                    <w:textAlignment w:val="center"/>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i w:val="0"/>
                      <w:color w:val="000000"/>
                      <w:kern w:val="0"/>
                      <w:sz w:val="21"/>
                      <w:szCs w:val="21"/>
                      <w:u w:val="none"/>
                      <w:lang w:val="en-US" w:eastAsia="zh-CN" w:bidi="ar"/>
                    </w:rPr>
                    <w:t>63,640,794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55"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val="en-US" w:eastAsia="zh-CN"/>
                    </w:rPr>
                  </w:pPr>
                </w:p>
              </w:tc>
              <w:tc>
                <w:tcPr>
                  <w:tcW w:w="925" w:type="dxa"/>
                  <w:vMerge w:val="continue"/>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p>
              </w:tc>
              <w:tc>
                <w:tcPr>
                  <w:tcW w:w="3030" w:type="dxa"/>
                  <w:vAlign w:val="center"/>
                </w:tcPr>
                <w:p>
                  <w:pPr>
                    <w:keepNext w:val="0"/>
                    <w:keepLines w:val="0"/>
                    <w:widowControl/>
                    <w:suppressLineNumbers w:val="0"/>
                    <w:jc w:val="left"/>
                    <w:textAlignment w:val="center"/>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i w:val="0"/>
                      <w:color w:val="000000"/>
                      <w:kern w:val="0"/>
                      <w:sz w:val="21"/>
                      <w:szCs w:val="21"/>
                      <w:highlight w:val="none"/>
                      <w:u w:val="none"/>
                      <w:lang w:val="en-US" w:eastAsia="zh-CN" w:bidi="ar"/>
                    </w:rPr>
                    <w:t>2018-2019年海隆大桥桥面铺装处治工程</w:t>
                  </w:r>
                </w:p>
              </w:tc>
              <w:tc>
                <w:tcPr>
                  <w:tcW w:w="1480" w:type="dxa"/>
                  <w:vAlign w:val="center"/>
                </w:tcPr>
                <w:p>
                  <w:pPr>
                    <w:keepNext w:val="0"/>
                    <w:keepLines w:val="0"/>
                    <w:widowControl/>
                    <w:suppressLineNumbers w:val="0"/>
                    <w:jc w:val="center"/>
                    <w:textAlignment w:val="center"/>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i w:val="0"/>
                      <w:color w:val="000000"/>
                      <w:kern w:val="0"/>
                      <w:sz w:val="21"/>
                      <w:szCs w:val="21"/>
                      <w:u w:val="none"/>
                      <w:lang w:val="en-US" w:eastAsia="zh-CN" w:bidi="ar"/>
                    </w:rPr>
                    <w:t>50712625</w:t>
                  </w:r>
                </w:p>
              </w:tc>
              <w:tc>
                <w:tcPr>
                  <w:tcW w:w="1391"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55"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c>
                <w:tcPr>
                  <w:tcW w:w="925" w:type="dxa"/>
                  <w:vMerge w:val="continue"/>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p>
              </w:tc>
              <w:tc>
                <w:tcPr>
                  <w:tcW w:w="3030" w:type="dxa"/>
                  <w:vAlign w:val="center"/>
                </w:tcPr>
                <w:p>
                  <w:pPr>
                    <w:keepNext w:val="0"/>
                    <w:keepLines w:val="0"/>
                    <w:widowControl/>
                    <w:suppressLineNumbers w:val="0"/>
                    <w:jc w:val="left"/>
                    <w:textAlignment w:val="center"/>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i w:val="0"/>
                      <w:color w:val="000000"/>
                      <w:kern w:val="0"/>
                      <w:sz w:val="21"/>
                      <w:szCs w:val="21"/>
                      <w:highlight w:val="none"/>
                      <w:u w:val="none"/>
                      <w:lang w:val="en-US" w:eastAsia="zh-CN" w:bidi="ar"/>
                    </w:rPr>
                    <w:t>2018年部分桥梁防护工程</w:t>
                  </w:r>
                </w:p>
              </w:tc>
              <w:tc>
                <w:tcPr>
                  <w:tcW w:w="1480" w:type="dxa"/>
                  <w:vAlign w:val="center"/>
                </w:tcPr>
                <w:p>
                  <w:pPr>
                    <w:keepNext w:val="0"/>
                    <w:keepLines w:val="0"/>
                    <w:widowControl/>
                    <w:suppressLineNumbers w:val="0"/>
                    <w:jc w:val="center"/>
                    <w:textAlignment w:val="center"/>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i w:val="0"/>
                      <w:color w:val="000000"/>
                      <w:kern w:val="0"/>
                      <w:sz w:val="21"/>
                      <w:szCs w:val="21"/>
                      <w:u w:val="none"/>
                      <w:lang w:val="en-US" w:eastAsia="zh-CN" w:bidi="ar"/>
                    </w:rPr>
                    <w:t>2345045</w:t>
                  </w:r>
                </w:p>
              </w:tc>
              <w:tc>
                <w:tcPr>
                  <w:tcW w:w="1391"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55" w:type="dxa"/>
                  <w:vMerge w:val="restart"/>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color w:val="000000"/>
                      <w:kern w:val="0"/>
                      <w:sz w:val="21"/>
                      <w:szCs w:val="21"/>
                      <w:highlight w:val="none"/>
                      <w:vertAlign w:val="baseline"/>
                      <w:lang w:val="en-US" w:eastAsia="zh-CN"/>
                    </w:rPr>
                    <w:t>2</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color w:val="000000"/>
                      <w:kern w:val="0"/>
                      <w:sz w:val="21"/>
                      <w:szCs w:val="21"/>
                      <w:highlight w:val="none"/>
                      <w:vertAlign w:val="baseline"/>
                      <w:lang w:val="en-US" w:eastAsia="zh-CN"/>
                    </w:rPr>
                    <w:t>标</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color w:val="000000"/>
                      <w:kern w:val="0"/>
                      <w:sz w:val="21"/>
                      <w:szCs w:val="21"/>
                      <w:highlight w:val="none"/>
                      <w:vertAlign w:val="baseline"/>
                      <w:lang w:val="en-US" w:eastAsia="zh-CN"/>
                    </w:rPr>
                    <w:t>段</w:t>
                  </w:r>
                </w:p>
              </w:tc>
              <w:tc>
                <w:tcPr>
                  <w:tcW w:w="925" w:type="dxa"/>
                  <w:vMerge w:val="restart"/>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r>
                    <w:rPr>
                      <w:rFonts w:hint="eastAsia" w:ascii="仿宋" w:hAnsi="仿宋" w:eastAsia="仿宋" w:cs="仿宋"/>
                      <w:i w:val="0"/>
                      <w:color w:val="000000"/>
                      <w:kern w:val="0"/>
                      <w:sz w:val="21"/>
                      <w:szCs w:val="21"/>
                      <w:highlight w:val="none"/>
                      <w:u w:val="none"/>
                      <w:lang w:val="en-US" w:eastAsia="zh-CN" w:bidi="ar"/>
                    </w:rPr>
                    <w:t>西线</w:t>
                  </w:r>
                </w:p>
              </w:tc>
              <w:tc>
                <w:tcPr>
                  <w:tcW w:w="3030" w:type="dxa"/>
                  <w:vAlign w:val="center"/>
                </w:tcPr>
                <w:p>
                  <w:pPr>
                    <w:keepNext w:val="0"/>
                    <w:keepLines w:val="0"/>
                    <w:widowControl/>
                    <w:suppressLineNumbers w:val="0"/>
                    <w:jc w:val="left"/>
                    <w:textAlignment w:val="center"/>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i w:val="0"/>
                      <w:color w:val="000000"/>
                      <w:kern w:val="0"/>
                      <w:sz w:val="21"/>
                      <w:szCs w:val="21"/>
                      <w:highlight w:val="none"/>
                      <w:u w:val="none"/>
                      <w:lang w:val="en-US" w:eastAsia="zh-CN" w:bidi="ar"/>
                    </w:rPr>
                    <w:t>全线桥梁病害维修工程</w:t>
                  </w:r>
                </w:p>
              </w:tc>
              <w:tc>
                <w:tcPr>
                  <w:tcW w:w="1480" w:type="dxa"/>
                  <w:vAlign w:val="center"/>
                </w:tcPr>
                <w:p>
                  <w:pPr>
                    <w:keepNext w:val="0"/>
                    <w:keepLines w:val="0"/>
                    <w:widowControl/>
                    <w:suppressLineNumbers w:val="0"/>
                    <w:jc w:val="center"/>
                    <w:textAlignment w:val="center"/>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i w:val="0"/>
                      <w:color w:val="000000"/>
                      <w:kern w:val="0"/>
                      <w:sz w:val="21"/>
                      <w:szCs w:val="21"/>
                      <w:u w:val="none"/>
                      <w:lang w:val="en-US" w:eastAsia="zh-CN" w:bidi="ar"/>
                    </w:rPr>
                    <w:t>3439323</w:t>
                  </w:r>
                </w:p>
              </w:tc>
              <w:tc>
                <w:tcPr>
                  <w:tcW w:w="1391" w:type="dxa"/>
                  <w:vMerge w:val="restart"/>
                  <w:vAlign w:val="center"/>
                </w:tcPr>
                <w:p>
                  <w:pPr>
                    <w:keepNext w:val="0"/>
                    <w:keepLines w:val="0"/>
                    <w:widowControl/>
                    <w:suppressLineNumbers w:val="0"/>
                    <w:jc w:val="center"/>
                    <w:textAlignment w:val="center"/>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i w:val="0"/>
                      <w:color w:val="000000"/>
                      <w:kern w:val="0"/>
                      <w:sz w:val="21"/>
                      <w:szCs w:val="21"/>
                      <w:u w:val="none"/>
                      <w:lang w:val="en-US" w:eastAsia="zh-CN" w:bidi="ar"/>
                    </w:rPr>
                    <w:t>11,272,639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55"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c>
                <w:tcPr>
                  <w:tcW w:w="925" w:type="dxa"/>
                  <w:vMerge w:val="continue"/>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p>
              </w:tc>
              <w:tc>
                <w:tcPr>
                  <w:tcW w:w="3030" w:type="dxa"/>
                  <w:vAlign w:val="center"/>
                </w:tcPr>
                <w:p>
                  <w:pPr>
                    <w:keepNext w:val="0"/>
                    <w:keepLines w:val="0"/>
                    <w:widowControl/>
                    <w:suppressLineNumbers w:val="0"/>
                    <w:jc w:val="left"/>
                    <w:textAlignment w:val="center"/>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i w:val="0"/>
                      <w:color w:val="000000"/>
                      <w:kern w:val="0"/>
                      <w:sz w:val="21"/>
                      <w:szCs w:val="21"/>
                      <w:highlight w:val="none"/>
                      <w:u w:val="none"/>
                      <w:lang w:val="en-US" w:eastAsia="zh-CN" w:bidi="ar"/>
                    </w:rPr>
                    <w:t>独柱墩桥梁加固</w:t>
                  </w:r>
                </w:p>
              </w:tc>
              <w:tc>
                <w:tcPr>
                  <w:tcW w:w="1480" w:type="dxa"/>
                  <w:vAlign w:val="center"/>
                </w:tcPr>
                <w:p>
                  <w:pPr>
                    <w:keepNext w:val="0"/>
                    <w:keepLines w:val="0"/>
                    <w:widowControl/>
                    <w:suppressLineNumbers w:val="0"/>
                    <w:jc w:val="center"/>
                    <w:textAlignment w:val="center"/>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i w:val="0"/>
                      <w:color w:val="000000"/>
                      <w:kern w:val="0"/>
                      <w:sz w:val="21"/>
                      <w:szCs w:val="21"/>
                      <w:u w:val="none"/>
                      <w:lang w:val="en-US" w:eastAsia="zh-CN" w:bidi="ar"/>
                    </w:rPr>
                    <w:t>1213035</w:t>
                  </w:r>
                </w:p>
              </w:tc>
              <w:tc>
                <w:tcPr>
                  <w:tcW w:w="1391"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55"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c>
                <w:tcPr>
                  <w:tcW w:w="925" w:type="dxa"/>
                  <w:vMerge w:val="continue"/>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p>
              </w:tc>
              <w:tc>
                <w:tcPr>
                  <w:tcW w:w="3030" w:type="dxa"/>
                  <w:vAlign w:val="center"/>
                </w:tcPr>
                <w:p>
                  <w:pPr>
                    <w:keepNext w:val="0"/>
                    <w:keepLines w:val="0"/>
                    <w:widowControl/>
                    <w:suppressLineNumbers w:val="0"/>
                    <w:jc w:val="left"/>
                    <w:textAlignment w:val="center"/>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i w:val="0"/>
                      <w:color w:val="000000"/>
                      <w:kern w:val="0"/>
                      <w:sz w:val="21"/>
                      <w:szCs w:val="21"/>
                      <w:highlight w:val="none"/>
                      <w:u w:val="none"/>
                      <w:lang w:val="en-US" w:eastAsia="zh-CN" w:bidi="ar"/>
                    </w:rPr>
                    <w:t>沿线缺失、损坏的桥梁排水管修复</w:t>
                  </w:r>
                </w:p>
              </w:tc>
              <w:tc>
                <w:tcPr>
                  <w:tcW w:w="1480" w:type="dxa"/>
                  <w:vAlign w:val="center"/>
                </w:tcPr>
                <w:p>
                  <w:pPr>
                    <w:keepNext w:val="0"/>
                    <w:keepLines w:val="0"/>
                    <w:widowControl/>
                    <w:suppressLineNumbers w:val="0"/>
                    <w:jc w:val="center"/>
                    <w:textAlignment w:val="center"/>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i w:val="0"/>
                      <w:color w:val="000000"/>
                      <w:kern w:val="0"/>
                      <w:sz w:val="21"/>
                      <w:szCs w:val="21"/>
                      <w:u w:val="none"/>
                      <w:lang w:val="en-US" w:eastAsia="zh-CN" w:bidi="ar"/>
                    </w:rPr>
                    <w:t>445477</w:t>
                  </w:r>
                </w:p>
              </w:tc>
              <w:tc>
                <w:tcPr>
                  <w:tcW w:w="1391"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55"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c>
                <w:tcPr>
                  <w:tcW w:w="925" w:type="dxa"/>
                  <w:vMerge w:val="restart"/>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r>
                    <w:rPr>
                      <w:rFonts w:hint="eastAsia" w:ascii="仿宋" w:hAnsi="仿宋" w:eastAsia="仿宋" w:cs="仿宋"/>
                      <w:i w:val="0"/>
                      <w:color w:val="000000"/>
                      <w:kern w:val="0"/>
                      <w:sz w:val="21"/>
                      <w:szCs w:val="21"/>
                      <w:highlight w:val="none"/>
                      <w:u w:val="none"/>
                      <w:lang w:val="en-US" w:eastAsia="zh-CN" w:bidi="ar"/>
                    </w:rPr>
                    <w:t>南环</w:t>
                  </w:r>
                </w:p>
              </w:tc>
              <w:tc>
                <w:tcPr>
                  <w:tcW w:w="3030" w:type="dxa"/>
                  <w:vAlign w:val="center"/>
                </w:tcPr>
                <w:p>
                  <w:pPr>
                    <w:keepNext w:val="0"/>
                    <w:keepLines w:val="0"/>
                    <w:widowControl/>
                    <w:suppressLineNumbers w:val="0"/>
                    <w:jc w:val="left"/>
                    <w:textAlignment w:val="center"/>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i w:val="0"/>
                      <w:color w:val="000000"/>
                      <w:kern w:val="0"/>
                      <w:sz w:val="21"/>
                      <w:szCs w:val="21"/>
                      <w:highlight w:val="none"/>
                      <w:u w:val="none"/>
                      <w:lang w:val="en-US" w:eastAsia="zh-CN" w:bidi="ar"/>
                    </w:rPr>
                    <w:t>桥梁维修加固工程</w:t>
                  </w:r>
                </w:p>
              </w:tc>
              <w:tc>
                <w:tcPr>
                  <w:tcW w:w="1480" w:type="dxa"/>
                  <w:vAlign w:val="center"/>
                </w:tcPr>
                <w:p>
                  <w:pPr>
                    <w:keepNext w:val="0"/>
                    <w:keepLines w:val="0"/>
                    <w:widowControl/>
                    <w:suppressLineNumbers w:val="0"/>
                    <w:jc w:val="center"/>
                    <w:textAlignment w:val="center"/>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i w:val="0"/>
                      <w:color w:val="000000"/>
                      <w:kern w:val="0"/>
                      <w:sz w:val="21"/>
                      <w:szCs w:val="21"/>
                      <w:u w:val="none"/>
                      <w:lang w:val="en-US" w:eastAsia="zh-CN" w:bidi="ar"/>
                    </w:rPr>
                    <w:t>3486381</w:t>
                  </w:r>
                </w:p>
              </w:tc>
              <w:tc>
                <w:tcPr>
                  <w:tcW w:w="1391"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55"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c>
                <w:tcPr>
                  <w:tcW w:w="925" w:type="dxa"/>
                  <w:vMerge w:val="continue"/>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p>
              </w:tc>
              <w:tc>
                <w:tcPr>
                  <w:tcW w:w="3030" w:type="dxa"/>
                  <w:vAlign w:val="center"/>
                </w:tcPr>
                <w:p>
                  <w:pPr>
                    <w:keepNext w:val="0"/>
                    <w:keepLines w:val="0"/>
                    <w:widowControl/>
                    <w:suppressLineNumbers w:val="0"/>
                    <w:jc w:val="left"/>
                    <w:textAlignment w:val="center"/>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i w:val="0"/>
                      <w:color w:val="000000"/>
                      <w:kern w:val="0"/>
                      <w:sz w:val="21"/>
                      <w:szCs w:val="21"/>
                      <w:highlight w:val="none"/>
                      <w:u w:val="none"/>
                      <w:lang w:val="en-US" w:eastAsia="zh-CN" w:bidi="ar"/>
                    </w:rPr>
                    <w:t>独柱墩桥梁维修加固工程</w:t>
                  </w:r>
                </w:p>
              </w:tc>
              <w:tc>
                <w:tcPr>
                  <w:tcW w:w="1480" w:type="dxa"/>
                  <w:vAlign w:val="center"/>
                </w:tcPr>
                <w:p>
                  <w:pPr>
                    <w:keepNext w:val="0"/>
                    <w:keepLines w:val="0"/>
                    <w:widowControl/>
                    <w:suppressLineNumbers w:val="0"/>
                    <w:jc w:val="center"/>
                    <w:textAlignment w:val="center"/>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i w:val="0"/>
                      <w:color w:val="000000"/>
                      <w:kern w:val="0"/>
                      <w:sz w:val="21"/>
                      <w:szCs w:val="21"/>
                      <w:u w:val="none"/>
                      <w:lang w:val="en-US" w:eastAsia="zh-CN" w:bidi="ar"/>
                    </w:rPr>
                    <w:t>1367534</w:t>
                  </w:r>
                </w:p>
              </w:tc>
              <w:tc>
                <w:tcPr>
                  <w:tcW w:w="1391"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55"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c>
                <w:tcPr>
                  <w:tcW w:w="925"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r>
                    <w:rPr>
                      <w:rFonts w:hint="eastAsia" w:ascii="仿宋" w:hAnsi="仿宋" w:eastAsia="仿宋" w:cs="仿宋"/>
                      <w:i w:val="0"/>
                      <w:color w:val="000000"/>
                      <w:kern w:val="0"/>
                      <w:sz w:val="21"/>
                      <w:szCs w:val="21"/>
                      <w:highlight w:val="none"/>
                      <w:u w:val="none"/>
                      <w:lang w:val="en-US" w:eastAsia="zh-CN" w:bidi="ar"/>
                    </w:rPr>
                    <w:t>江中</w:t>
                  </w:r>
                </w:p>
              </w:tc>
              <w:tc>
                <w:tcPr>
                  <w:tcW w:w="3030" w:type="dxa"/>
                  <w:vAlign w:val="center"/>
                </w:tcPr>
                <w:p>
                  <w:pPr>
                    <w:keepNext w:val="0"/>
                    <w:keepLines w:val="0"/>
                    <w:widowControl/>
                    <w:suppressLineNumbers w:val="0"/>
                    <w:jc w:val="left"/>
                    <w:textAlignment w:val="center"/>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i w:val="0"/>
                      <w:color w:val="000000"/>
                      <w:kern w:val="0"/>
                      <w:sz w:val="21"/>
                      <w:szCs w:val="21"/>
                      <w:highlight w:val="none"/>
                      <w:u w:val="none"/>
                      <w:lang w:val="en-US" w:eastAsia="zh-CN" w:bidi="ar"/>
                    </w:rPr>
                    <w:t>桥梁跨河跨路桥面雨水集</w:t>
                  </w:r>
                </w:p>
              </w:tc>
              <w:tc>
                <w:tcPr>
                  <w:tcW w:w="1480" w:type="dxa"/>
                  <w:vAlign w:val="center"/>
                </w:tcPr>
                <w:p>
                  <w:pPr>
                    <w:keepNext w:val="0"/>
                    <w:keepLines w:val="0"/>
                    <w:widowControl/>
                    <w:suppressLineNumbers w:val="0"/>
                    <w:jc w:val="center"/>
                    <w:textAlignment w:val="center"/>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i w:val="0"/>
                      <w:color w:val="000000"/>
                      <w:kern w:val="0"/>
                      <w:sz w:val="21"/>
                      <w:szCs w:val="21"/>
                      <w:u w:val="none"/>
                      <w:lang w:val="en-US" w:eastAsia="zh-CN" w:bidi="ar"/>
                    </w:rPr>
                    <w:t>1320889</w:t>
                  </w:r>
                </w:p>
              </w:tc>
              <w:tc>
                <w:tcPr>
                  <w:tcW w:w="1391"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55" w:type="dxa"/>
                  <w:vMerge w:val="restart"/>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color w:val="000000"/>
                      <w:kern w:val="0"/>
                      <w:sz w:val="21"/>
                      <w:szCs w:val="21"/>
                      <w:highlight w:val="none"/>
                      <w:vertAlign w:val="baseline"/>
                      <w:lang w:val="en-US" w:eastAsia="zh-CN"/>
                    </w:rPr>
                    <w:t>3</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color w:val="000000"/>
                      <w:kern w:val="0"/>
                      <w:sz w:val="21"/>
                      <w:szCs w:val="21"/>
                      <w:highlight w:val="none"/>
                      <w:vertAlign w:val="baseline"/>
                      <w:lang w:val="en-US" w:eastAsia="zh-CN"/>
                    </w:rPr>
                    <w:t>标</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color w:val="000000"/>
                      <w:kern w:val="0"/>
                      <w:sz w:val="21"/>
                      <w:szCs w:val="21"/>
                      <w:highlight w:val="none"/>
                      <w:vertAlign w:val="baseline"/>
                      <w:lang w:val="en-US" w:eastAsia="zh-CN"/>
                    </w:rPr>
                    <w:t>段</w:t>
                  </w:r>
                </w:p>
              </w:tc>
              <w:tc>
                <w:tcPr>
                  <w:tcW w:w="925" w:type="dxa"/>
                  <w:vMerge w:val="restart"/>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r>
                    <w:rPr>
                      <w:rFonts w:hint="eastAsia" w:ascii="仿宋" w:hAnsi="仿宋" w:eastAsia="仿宋" w:cs="仿宋"/>
                      <w:i w:val="0"/>
                      <w:color w:val="000000"/>
                      <w:kern w:val="0"/>
                      <w:sz w:val="21"/>
                      <w:szCs w:val="21"/>
                      <w:highlight w:val="none"/>
                      <w:u w:val="none"/>
                      <w:lang w:val="en-US" w:eastAsia="zh-CN" w:bidi="ar"/>
                    </w:rPr>
                    <w:t>博</w:t>
                  </w:r>
                </w:p>
                <w:p>
                  <w:pPr>
                    <w:keepNext w:val="0"/>
                    <w:keepLines w:val="0"/>
                    <w:widowControl/>
                    <w:suppressLineNumbers w:val="0"/>
                    <w:jc w:val="center"/>
                    <w:textAlignment w:val="center"/>
                    <w:rPr>
                      <w:rFonts w:hint="eastAsia" w:ascii="仿宋" w:hAnsi="仿宋" w:eastAsia="仿宋" w:cs="仿宋"/>
                      <w:i w:val="0"/>
                      <w:color w:val="000000"/>
                      <w:kern w:val="0"/>
                      <w:sz w:val="21"/>
                      <w:szCs w:val="21"/>
                      <w:highlight w:val="none"/>
                      <w:u w:val="none"/>
                      <w:lang w:val="en-US" w:eastAsia="zh-CN" w:bidi="ar"/>
                    </w:rPr>
                  </w:pPr>
                  <w:r>
                    <w:rPr>
                      <w:rFonts w:hint="eastAsia" w:ascii="仿宋" w:hAnsi="仿宋" w:eastAsia="仿宋" w:cs="仿宋"/>
                      <w:i w:val="0"/>
                      <w:color w:val="000000"/>
                      <w:kern w:val="0"/>
                      <w:sz w:val="21"/>
                      <w:szCs w:val="21"/>
                      <w:highlight w:val="none"/>
                      <w:u w:val="none"/>
                      <w:lang w:val="en-US" w:eastAsia="zh-CN" w:bidi="ar"/>
                    </w:rPr>
                    <w:t>深</w:t>
                  </w:r>
                </w:p>
              </w:tc>
              <w:tc>
                <w:tcPr>
                  <w:tcW w:w="3030" w:type="dxa"/>
                  <w:vAlign w:val="center"/>
                </w:tcPr>
                <w:p>
                  <w:pPr>
                    <w:keepNext w:val="0"/>
                    <w:keepLines w:val="0"/>
                    <w:widowControl/>
                    <w:suppressLineNumbers w:val="0"/>
                    <w:jc w:val="left"/>
                    <w:textAlignment w:val="center"/>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i w:val="0"/>
                      <w:color w:val="000000"/>
                      <w:kern w:val="0"/>
                      <w:sz w:val="21"/>
                      <w:szCs w:val="21"/>
                      <w:highlight w:val="none"/>
                      <w:u w:val="none"/>
                      <w:lang w:val="en-US" w:eastAsia="zh-CN" w:bidi="ar"/>
                    </w:rPr>
                    <w:t>涵洞病害治理工程</w:t>
                  </w:r>
                </w:p>
              </w:tc>
              <w:tc>
                <w:tcPr>
                  <w:tcW w:w="1480" w:type="dxa"/>
                  <w:vAlign w:val="center"/>
                </w:tcPr>
                <w:p>
                  <w:pPr>
                    <w:keepNext w:val="0"/>
                    <w:keepLines w:val="0"/>
                    <w:widowControl/>
                    <w:suppressLineNumbers w:val="0"/>
                    <w:jc w:val="center"/>
                    <w:textAlignment w:val="center"/>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i w:val="0"/>
                      <w:color w:val="000000"/>
                      <w:kern w:val="0"/>
                      <w:sz w:val="21"/>
                      <w:szCs w:val="21"/>
                      <w:u w:val="none"/>
                      <w:lang w:val="en-US" w:eastAsia="zh-CN" w:bidi="ar"/>
                    </w:rPr>
                    <w:t>310728</w:t>
                  </w:r>
                </w:p>
              </w:tc>
              <w:tc>
                <w:tcPr>
                  <w:tcW w:w="1391" w:type="dxa"/>
                  <w:vMerge w:val="restart"/>
                  <w:vAlign w:val="center"/>
                </w:tcPr>
                <w:p>
                  <w:pPr>
                    <w:keepNext w:val="0"/>
                    <w:keepLines w:val="0"/>
                    <w:widowControl/>
                    <w:suppressLineNumbers w:val="0"/>
                    <w:jc w:val="center"/>
                    <w:textAlignment w:val="center"/>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i w:val="0"/>
                      <w:color w:val="000000"/>
                      <w:kern w:val="0"/>
                      <w:sz w:val="21"/>
                      <w:szCs w:val="21"/>
                      <w:u w:val="none"/>
                      <w:lang w:val="en-US" w:eastAsia="zh-CN" w:bidi="ar"/>
                    </w:rPr>
                    <w:t>13,614,322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55"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c>
                <w:tcPr>
                  <w:tcW w:w="925" w:type="dxa"/>
                  <w:vMerge w:val="continue"/>
                  <w:vAlign w:val="center"/>
                </w:tcPr>
                <w:p>
                  <w:pPr>
                    <w:keepNext w:val="0"/>
                    <w:keepLines w:val="0"/>
                    <w:widowControl/>
                    <w:suppressLineNumbers w:val="0"/>
                    <w:jc w:val="left"/>
                    <w:textAlignment w:val="center"/>
                    <w:rPr>
                      <w:rFonts w:hint="eastAsia" w:ascii="仿宋" w:hAnsi="仿宋" w:eastAsia="仿宋" w:cs="仿宋"/>
                      <w:i w:val="0"/>
                      <w:color w:val="000000"/>
                      <w:kern w:val="0"/>
                      <w:sz w:val="21"/>
                      <w:szCs w:val="21"/>
                      <w:highlight w:val="none"/>
                      <w:u w:val="none"/>
                      <w:lang w:val="en-US" w:eastAsia="zh-CN" w:bidi="ar"/>
                    </w:rPr>
                  </w:pPr>
                </w:p>
              </w:tc>
              <w:tc>
                <w:tcPr>
                  <w:tcW w:w="3030" w:type="dxa"/>
                  <w:vAlign w:val="center"/>
                </w:tcPr>
                <w:p>
                  <w:pPr>
                    <w:keepNext w:val="0"/>
                    <w:keepLines w:val="0"/>
                    <w:widowControl/>
                    <w:suppressLineNumbers w:val="0"/>
                    <w:jc w:val="left"/>
                    <w:textAlignment w:val="center"/>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i w:val="0"/>
                      <w:color w:val="000000"/>
                      <w:kern w:val="0"/>
                      <w:sz w:val="21"/>
                      <w:szCs w:val="21"/>
                      <w:highlight w:val="none"/>
                      <w:u w:val="none"/>
                      <w:lang w:val="en-US" w:eastAsia="zh-CN" w:bidi="ar"/>
                    </w:rPr>
                    <w:t>2018-2019年度桥梁病害治理（跨年度）</w:t>
                  </w:r>
                </w:p>
              </w:tc>
              <w:tc>
                <w:tcPr>
                  <w:tcW w:w="1480" w:type="dxa"/>
                  <w:vAlign w:val="center"/>
                </w:tcPr>
                <w:p>
                  <w:pPr>
                    <w:keepNext w:val="0"/>
                    <w:keepLines w:val="0"/>
                    <w:widowControl/>
                    <w:suppressLineNumbers w:val="0"/>
                    <w:jc w:val="center"/>
                    <w:textAlignment w:val="center"/>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i w:val="0"/>
                      <w:color w:val="000000"/>
                      <w:kern w:val="0"/>
                      <w:sz w:val="21"/>
                      <w:szCs w:val="21"/>
                      <w:u w:val="none"/>
                      <w:lang w:val="en-US" w:eastAsia="zh-CN" w:bidi="ar"/>
                    </w:rPr>
                    <w:t>8866679</w:t>
                  </w:r>
                </w:p>
              </w:tc>
              <w:tc>
                <w:tcPr>
                  <w:tcW w:w="1391"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55"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c>
                <w:tcPr>
                  <w:tcW w:w="925" w:type="dxa"/>
                  <w:vMerge w:val="continue"/>
                  <w:vAlign w:val="center"/>
                </w:tcPr>
                <w:p>
                  <w:pPr>
                    <w:keepNext w:val="0"/>
                    <w:keepLines w:val="0"/>
                    <w:widowControl/>
                    <w:suppressLineNumbers w:val="0"/>
                    <w:jc w:val="left"/>
                    <w:textAlignment w:val="center"/>
                    <w:rPr>
                      <w:rFonts w:hint="eastAsia" w:ascii="仿宋" w:hAnsi="仿宋" w:eastAsia="仿宋" w:cs="仿宋"/>
                      <w:i w:val="0"/>
                      <w:color w:val="000000"/>
                      <w:kern w:val="0"/>
                      <w:sz w:val="21"/>
                      <w:szCs w:val="21"/>
                      <w:highlight w:val="none"/>
                      <w:u w:val="none"/>
                      <w:lang w:val="en-US" w:eastAsia="zh-CN" w:bidi="ar"/>
                    </w:rPr>
                  </w:pPr>
                </w:p>
              </w:tc>
              <w:tc>
                <w:tcPr>
                  <w:tcW w:w="3030" w:type="dxa"/>
                  <w:vAlign w:val="center"/>
                </w:tcPr>
                <w:p>
                  <w:pPr>
                    <w:keepNext w:val="0"/>
                    <w:keepLines w:val="0"/>
                    <w:widowControl/>
                    <w:suppressLineNumbers w:val="0"/>
                    <w:jc w:val="left"/>
                    <w:textAlignment w:val="center"/>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i w:val="0"/>
                      <w:color w:val="000000"/>
                      <w:kern w:val="0"/>
                      <w:sz w:val="21"/>
                      <w:szCs w:val="21"/>
                      <w:highlight w:val="none"/>
                      <w:u w:val="none"/>
                      <w:lang w:val="en-US" w:eastAsia="zh-CN" w:bidi="ar"/>
                    </w:rPr>
                    <w:t>边坡处治工程</w:t>
                  </w:r>
                </w:p>
              </w:tc>
              <w:tc>
                <w:tcPr>
                  <w:tcW w:w="1480" w:type="dxa"/>
                  <w:vAlign w:val="center"/>
                </w:tcPr>
                <w:p>
                  <w:pPr>
                    <w:keepNext w:val="0"/>
                    <w:keepLines w:val="0"/>
                    <w:widowControl/>
                    <w:suppressLineNumbers w:val="0"/>
                    <w:jc w:val="center"/>
                    <w:textAlignment w:val="center"/>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i w:val="0"/>
                      <w:color w:val="000000"/>
                      <w:kern w:val="0"/>
                      <w:sz w:val="21"/>
                      <w:szCs w:val="21"/>
                      <w:u w:val="none"/>
                      <w:lang w:val="en-US" w:eastAsia="zh-CN" w:bidi="ar"/>
                    </w:rPr>
                    <w:t>2781654</w:t>
                  </w:r>
                </w:p>
              </w:tc>
              <w:tc>
                <w:tcPr>
                  <w:tcW w:w="1391"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55"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c>
                <w:tcPr>
                  <w:tcW w:w="925" w:type="dxa"/>
                  <w:vMerge w:val="continue"/>
                  <w:vAlign w:val="center"/>
                </w:tcPr>
                <w:p>
                  <w:pPr>
                    <w:keepNext w:val="0"/>
                    <w:keepLines w:val="0"/>
                    <w:widowControl/>
                    <w:suppressLineNumbers w:val="0"/>
                    <w:jc w:val="left"/>
                    <w:textAlignment w:val="center"/>
                    <w:rPr>
                      <w:rFonts w:hint="eastAsia" w:ascii="仿宋" w:hAnsi="仿宋" w:eastAsia="仿宋" w:cs="仿宋"/>
                      <w:i w:val="0"/>
                      <w:color w:val="000000"/>
                      <w:kern w:val="0"/>
                      <w:sz w:val="21"/>
                      <w:szCs w:val="21"/>
                      <w:highlight w:val="none"/>
                      <w:u w:val="none"/>
                      <w:lang w:val="en-US" w:eastAsia="zh-CN" w:bidi="ar"/>
                    </w:rPr>
                  </w:pPr>
                </w:p>
              </w:tc>
              <w:tc>
                <w:tcPr>
                  <w:tcW w:w="3030" w:type="dxa"/>
                  <w:vAlign w:val="center"/>
                </w:tcPr>
                <w:p>
                  <w:pPr>
                    <w:keepNext w:val="0"/>
                    <w:keepLines w:val="0"/>
                    <w:widowControl/>
                    <w:suppressLineNumbers w:val="0"/>
                    <w:jc w:val="left"/>
                    <w:textAlignment w:val="center"/>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i w:val="0"/>
                      <w:color w:val="000000"/>
                      <w:kern w:val="0"/>
                      <w:sz w:val="21"/>
                      <w:szCs w:val="21"/>
                      <w:highlight w:val="none"/>
                      <w:u w:val="none"/>
                      <w:lang w:val="en-US" w:eastAsia="zh-CN" w:bidi="ar"/>
                    </w:rPr>
                    <w:t>独柱墩桥梁抗倾覆改造工程</w:t>
                  </w:r>
                </w:p>
              </w:tc>
              <w:tc>
                <w:tcPr>
                  <w:tcW w:w="1480" w:type="dxa"/>
                  <w:vAlign w:val="center"/>
                </w:tcPr>
                <w:p>
                  <w:pPr>
                    <w:keepNext w:val="0"/>
                    <w:keepLines w:val="0"/>
                    <w:widowControl/>
                    <w:suppressLineNumbers w:val="0"/>
                    <w:jc w:val="center"/>
                    <w:textAlignment w:val="center"/>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i w:val="0"/>
                      <w:color w:val="000000"/>
                      <w:kern w:val="0"/>
                      <w:sz w:val="21"/>
                      <w:szCs w:val="21"/>
                      <w:u w:val="none"/>
                      <w:lang w:val="en-US" w:eastAsia="zh-CN" w:bidi="ar"/>
                    </w:rPr>
                    <w:t>806365</w:t>
                  </w:r>
                </w:p>
              </w:tc>
              <w:tc>
                <w:tcPr>
                  <w:tcW w:w="1391"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55"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c>
                <w:tcPr>
                  <w:tcW w:w="925" w:type="dxa"/>
                  <w:vMerge w:val="continue"/>
                  <w:vAlign w:val="center"/>
                </w:tcPr>
                <w:p>
                  <w:pPr>
                    <w:keepNext w:val="0"/>
                    <w:keepLines w:val="0"/>
                    <w:widowControl/>
                    <w:suppressLineNumbers w:val="0"/>
                    <w:jc w:val="left"/>
                    <w:textAlignment w:val="center"/>
                    <w:rPr>
                      <w:rFonts w:hint="eastAsia" w:ascii="仿宋" w:hAnsi="仿宋" w:eastAsia="仿宋" w:cs="仿宋"/>
                      <w:i w:val="0"/>
                      <w:color w:val="000000"/>
                      <w:kern w:val="0"/>
                      <w:sz w:val="21"/>
                      <w:szCs w:val="21"/>
                      <w:highlight w:val="none"/>
                      <w:u w:val="none"/>
                      <w:lang w:val="en-US" w:eastAsia="zh-CN" w:bidi="ar"/>
                    </w:rPr>
                  </w:pPr>
                </w:p>
              </w:tc>
              <w:tc>
                <w:tcPr>
                  <w:tcW w:w="3030" w:type="dxa"/>
                  <w:vAlign w:val="center"/>
                </w:tcPr>
                <w:p>
                  <w:pPr>
                    <w:keepNext w:val="0"/>
                    <w:keepLines w:val="0"/>
                    <w:widowControl/>
                    <w:suppressLineNumbers w:val="0"/>
                    <w:jc w:val="left"/>
                    <w:textAlignment w:val="center"/>
                    <w:rPr>
                      <w:rFonts w:hint="eastAsia" w:ascii="仿宋" w:hAnsi="仿宋" w:eastAsia="仿宋" w:cs="仿宋"/>
                      <w:color w:val="000000"/>
                      <w:kern w:val="0"/>
                      <w:sz w:val="21"/>
                      <w:szCs w:val="21"/>
                      <w:highlight w:val="none"/>
                      <w:vertAlign w:val="baseline"/>
                      <w:lang w:eastAsia="zh-CN"/>
                    </w:rPr>
                  </w:pPr>
                  <w:r>
                    <w:rPr>
                      <w:rFonts w:hint="eastAsia" w:ascii="仿宋" w:hAnsi="仿宋" w:eastAsia="仿宋" w:cs="仿宋"/>
                      <w:i w:val="0"/>
                      <w:color w:val="000000"/>
                      <w:kern w:val="0"/>
                      <w:sz w:val="21"/>
                      <w:szCs w:val="21"/>
                      <w:highlight w:val="none"/>
                      <w:u w:val="none"/>
                      <w:lang w:val="en-US" w:eastAsia="zh-CN" w:bidi="ar"/>
                    </w:rPr>
                    <w:t>隧道病害治理工程</w:t>
                  </w:r>
                </w:p>
              </w:tc>
              <w:tc>
                <w:tcPr>
                  <w:tcW w:w="1480" w:type="dxa"/>
                  <w:vAlign w:val="center"/>
                </w:tcPr>
                <w:p>
                  <w:pPr>
                    <w:keepNext w:val="0"/>
                    <w:keepLines w:val="0"/>
                    <w:widowControl/>
                    <w:suppressLineNumbers w:val="0"/>
                    <w:jc w:val="center"/>
                    <w:textAlignment w:val="center"/>
                    <w:rPr>
                      <w:rFonts w:hint="eastAsia" w:ascii="仿宋" w:hAnsi="仿宋" w:eastAsia="仿宋" w:cs="仿宋"/>
                      <w:color w:val="000000"/>
                      <w:kern w:val="0"/>
                      <w:sz w:val="21"/>
                      <w:szCs w:val="21"/>
                      <w:highlight w:val="none"/>
                      <w:vertAlign w:val="baseline"/>
                      <w:lang w:val="en-US" w:eastAsia="zh-CN"/>
                    </w:rPr>
                  </w:pPr>
                  <w:r>
                    <w:rPr>
                      <w:rFonts w:hint="eastAsia" w:ascii="仿宋" w:hAnsi="仿宋" w:eastAsia="仿宋" w:cs="仿宋"/>
                      <w:i w:val="0"/>
                      <w:color w:val="000000"/>
                      <w:kern w:val="0"/>
                      <w:sz w:val="21"/>
                      <w:szCs w:val="21"/>
                      <w:u w:val="none"/>
                      <w:lang w:val="en-US" w:eastAsia="zh-CN" w:bidi="ar"/>
                    </w:rPr>
                    <w:t>848896</w:t>
                  </w:r>
                </w:p>
              </w:tc>
              <w:tc>
                <w:tcPr>
                  <w:tcW w:w="1391" w:type="dxa"/>
                  <w:vMerge w:val="continue"/>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center"/>
                    <w:textAlignment w:val="auto"/>
                    <w:outlineLvl w:val="9"/>
                    <w:rPr>
                      <w:rFonts w:hint="eastAsia" w:ascii="仿宋" w:hAnsi="仿宋" w:eastAsia="仿宋" w:cs="仿宋"/>
                      <w:color w:val="000000"/>
                      <w:kern w:val="0"/>
                      <w:sz w:val="21"/>
                      <w:szCs w:val="21"/>
                      <w:highlight w:val="none"/>
                      <w:vertAlign w:val="baseline"/>
                      <w:lang w:eastAsia="zh-CN"/>
                    </w:rPr>
                  </w:pP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both"/>
              <w:textAlignment w:val="auto"/>
              <w:outlineLvl w:val="9"/>
              <w:rPr>
                <w:rFonts w:hint="eastAsia" w:ascii="仿宋" w:hAnsi="仿宋" w:eastAsia="仿宋" w:cs="仿宋"/>
                <w:color w:val="000000"/>
                <w:kern w:val="0"/>
                <w:sz w:val="24"/>
                <w:szCs w:val="24"/>
                <w:highlight w:val="none"/>
                <w:lang w:eastAsia="zh-CN"/>
              </w:rPr>
            </w:pPr>
          </w:p>
          <w:p>
            <w:pPr>
              <w:spacing w:line="400" w:lineRule="exact"/>
              <w:ind w:firstLine="360" w:firstLineChars="150"/>
              <w:rPr>
                <w:rFonts w:hint="eastAsia" w:ascii="仿宋" w:hAnsi="仿宋" w:eastAsia="仿宋" w:cs="仿宋"/>
                <w:b/>
                <w:bCs/>
                <w:color w:val="auto"/>
                <w:kern w:val="0"/>
                <w:sz w:val="24"/>
                <w:szCs w:val="24"/>
                <w:highlight w:val="none"/>
                <w:lang w:eastAsia="zh-CN"/>
              </w:rPr>
            </w:pPr>
            <w:r>
              <w:rPr>
                <w:rFonts w:hint="eastAsia" w:ascii="仿宋" w:hAnsi="仿宋" w:eastAsia="仿宋" w:cs="仿宋"/>
                <w:color w:val="auto"/>
                <w:kern w:val="0"/>
                <w:sz w:val="24"/>
                <w:szCs w:val="24"/>
                <w:highlight w:val="none"/>
                <w:lang w:eastAsia="zh-CN"/>
              </w:rPr>
              <w:t>下</w:t>
            </w:r>
            <w:r>
              <w:rPr>
                <w:rFonts w:hint="eastAsia" w:ascii="仿宋" w:hAnsi="仿宋" w:eastAsia="仿宋" w:cs="仿宋"/>
                <w:color w:val="auto"/>
                <w:kern w:val="0"/>
                <w:sz w:val="24"/>
                <w:szCs w:val="24"/>
                <w:highlight w:val="none"/>
              </w:rPr>
              <w:t>浮率k</w:t>
            </w:r>
            <w:r>
              <w:rPr>
                <w:rFonts w:hint="eastAsia" w:ascii="仿宋" w:hAnsi="仿宋" w:eastAsia="仿宋" w:cs="仿宋"/>
                <w:color w:val="auto"/>
                <w:kern w:val="0"/>
                <w:sz w:val="24"/>
                <w:szCs w:val="24"/>
                <w:highlight w:val="none"/>
                <w:lang w:val="en-US" w:eastAsia="zh-CN"/>
              </w:rPr>
              <w:t>在</w:t>
            </w:r>
            <w:r>
              <w:rPr>
                <w:rFonts w:hint="eastAsia" w:ascii="仿宋" w:hAnsi="仿宋" w:eastAsia="仿宋" w:cs="仿宋"/>
                <w:color w:val="auto"/>
                <w:kern w:val="0"/>
                <w:sz w:val="24"/>
                <w:szCs w:val="24"/>
                <w:highlight w:val="none"/>
              </w:rPr>
              <w:t>开标前在开标现场</w:t>
            </w:r>
            <w:r>
              <w:rPr>
                <w:rFonts w:hint="eastAsia" w:ascii="仿宋" w:hAnsi="仿宋" w:eastAsia="仿宋" w:cs="仿宋"/>
                <w:color w:val="auto"/>
                <w:kern w:val="0"/>
                <w:sz w:val="24"/>
                <w:szCs w:val="24"/>
                <w:highlight w:val="none"/>
                <w:lang w:val="en-US" w:eastAsia="zh-CN"/>
              </w:rPr>
              <w:t>采取</w:t>
            </w:r>
            <w:r>
              <w:rPr>
                <w:rFonts w:hint="eastAsia" w:ascii="仿宋" w:hAnsi="仿宋" w:eastAsia="仿宋" w:cs="仿宋"/>
                <w:color w:val="auto"/>
                <w:kern w:val="0"/>
                <w:sz w:val="24"/>
                <w:szCs w:val="24"/>
                <w:highlight w:val="none"/>
              </w:rPr>
              <w:t>摇珠方式确定。摇珠操作办法如下：在下浮率k值的取值范围内，以0.1%为一档次增序确定摇珠号码，</w:t>
            </w:r>
            <w:r>
              <w:rPr>
                <w:rFonts w:hint="eastAsia" w:ascii="仿宋" w:hAnsi="仿宋" w:eastAsia="仿宋" w:cs="仿宋"/>
                <w:color w:val="auto"/>
                <w:kern w:val="0"/>
                <w:sz w:val="24"/>
                <w:szCs w:val="24"/>
                <w:highlight w:val="none"/>
                <w:lang w:val="en-US" w:eastAsia="zh-CN"/>
              </w:rPr>
              <w:t>共3</w:t>
            </w:r>
            <w:r>
              <w:rPr>
                <w:rFonts w:hint="eastAsia" w:ascii="仿宋" w:hAnsi="仿宋" w:eastAsia="仿宋" w:cs="仿宋"/>
                <w:color w:val="auto"/>
                <w:kern w:val="0"/>
                <w:sz w:val="24"/>
                <w:szCs w:val="24"/>
                <w:highlight w:val="none"/>
              </w:rPr>
              <w:t>1个球</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rPr>
              <w:t>一次性</w:t>
            </w:r>
            <w:r>
              <w:rPr>
                <w:rFonts w:hint="eastAsia" w:ascii="仿宋" w:hAnsi="仿宋" w:eastAsia="仿宋" w:cs="仿宋"/>
                <w:color w:val="auto"/>
                <w:kern w:val="0"/>
                <w:sz w:val="24"/>
                <w:szCs w:val="24"/>
                <w:highlight w:val="none"/>
                <w:lang w:val="en-US" w:eastAsia="zh-CN"/>
              </w:rPr>
              <w:t>依次</w:t>
            </w:r>
            <w:r>
              <w:rPr>
                <w:rFonts w:hint="eastAsia" w:ascii="仿宋" w:hAnsi="仿宋" w:eastAsia="仿宋" w:cs="仿宋"/>
                <w:color w:val="auto"/>
                <w:kern w:val="0"/>
                <w:sz w:val="24"/>
                <w:szCs w:val="24"/>
                <w:highlight w:val="none"/>
              </w:rPr>
              <w:t>摇取</w:t>
            </w:r>
            <w:r>
              <w:rPr>
                <w:rFonts w:hint="eastAsia" w:ascii="仿宋" w:hAnsi="仿宋" w:eastAsia="仿宋" w:cs="仿宋"/>
                <w:color w:val="auto"/>
                <w:kern w:val="0"/>
                <w:sz w:val="24"/>
                <w:szCs w:val="24"/>
                <w:highlight w:val="none"/>
                <w:lang w:val="en-US" w:eastAsia="zh-CN"/>
              </w:rPr>
              <w:t>出3</w:t>
            </w:r>
            <w:r>
              <w:rPr>
                <w:rFonts w:hint="eastAsia" w:ascii="仿宋" w:hAnsi="仿宋" w:eastAsia="仿宋" w:cs="仿宋"/>
                <w:color w:val="auto"/>
                <w:kern w:val="0"/>
                <w:sz w:val="24"/>
                <w:szCs w:val="24"/>
                <w:highlight w:val="none"/>
              </w:rPr>
              <w:t>个球</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lang w:val="en-US" w:eastAsia="zh-CN"/>
              </w:rPr>
              <w:t>摇出的球不放回</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rPr>
              <w:t>，摇出</w:t>
            </w:r>
            <w:r>
              <w:rPr>
                <w:rFonts w:hint="eastAsia" w:ascii="仿宋" w:hAnsi="仿宋" w:eastAsia="仿宋" w:cs="仿宋"/>
                <w:color w:val="auto"/>
                <w:kern w:val="0"/>
                <w:sz w:val="24"/>
                <w:szCs w:val="24"/>
                <w:highlight w:val="none"/>
                <w:lang w:val="en-US" w:eastAsia="zh-CN"/>
              </w:rPr>
              <w:t>3个</w:t>
            </w:r>
            <w:r>
              <w:rPr>
                <w:rFonts w:hint="eastAsia" w:ascii="仿宋" w:hAnsi="仿宋" w:eastAsia="仿宋" w:cs="仿宋"/>
                <w:color w:val="auto"/>
                <w:kern w:val="0"/>
                <w:sz w:val="24"/>
                <w:szCs w:val="24"/>
                <w:highlight w:val="none"/>
                <w:lang w:eastAsia="zh-CN"/>
              </w:rPr>
              <w:t>球</w:t>
            </w:r>
            <w:r>
              <w:rPr>
                <w:rFonts w:hint="eastAsia" w:ascii="仿宋" w:hAnsi="仿宋" w:eastAsia="仿宋" w:cs="仿宋"/>
                <w:color w:val="auto"/>
                <w:kern w:val="0"/>
                <w:sz w:val="24"/>
                <w:szCs w:val="24"/>
                <w:highlight w:val="none"/>
              </w:rPr>
              <w:t>对应下浮率</w:t>
            </w:r>
            <w:r>
              <w:rPr>
                <w:rFonts w:hint="eastAsia" w:ascii="仿宋" w:hAnsi="仿宋" w:eastAsia="仿宋" w:cs="仿宋"/>
                <w:color w:val="auto"/>
                <w:kern w:val="0"/>
                <w:sz w:val="24"/>
                <w:szCs w:val="24"/>
                <w:highlight w:val="none"/>
                <w:lang w:val="en-US" w:eastAsia="zh-CN"/>
              </w:rPr>
              <w:t>的平均值</w:t>
            </w:r>
            <w:r>
              <w:rPr>
                <w:rFonts w:hint="eastAsia" w:ascii="仿宋" w:hAnsi="仿宋" w:eastAsia="仿宋" w:cs="仿宋"/>
                <w:color w:val="auto"/>
                <w:kern w:val="0"/>
                <w:sz w:val="24"/>
                <w:szCs w:val="24"/>
                <w:highlight w:val="none"/>
              </w:rPr>
              <w:t>即为</w:t>
            </w:r>
            <w:r>
              <w:rPr>
                <w:rFonts w:hint="eastAsia" w:ascii="仿宋" w:hAnsi="仿宋" w:eastAsia="仿宋" w:cs="仿宋"/>
                <w:color w:val="auto"/>
                <w:kern w:val="0"/>
                <w:sz w:val="24"/>
                <w:szCs w:val="24"/>
                <w:highlight w:val="none"/>
                <w:lang w:eastAsia="zh-CN"/>
              </w:rPr>
              <w:t>本次招标</w:t>
            </w:r>
            <w:r>
              <w:rPr>
                <w:rFonts w:hint="eastAsia" w:ascii="仿宋" w:hAnsi="仿宋" w:eastAsia="仿宋" w:cs="仿宋"/>
                <w:b/>
                <w:bCs/>
                <w:color w:val="auto"/>
                <w:kern w:val="0"/>
                <w:sz w:val="24"/>
                <w:szCs w:val="24"/>
                <w:highlight w:val="none"/>
                <w:lang w:eastAsia="zh-CN"/>
              </w:rPr>
              <w:t>第</w:t>
            </w:r>
            <w:r>
              <w:rPr>
                <w:rFonts w:hint="eastAsia" w:ascii="仿宋" w:hAnsi="仿宋" w:eastAsia="仿宋" w:cs="仿宋"/>
                <w:b/>
                <w:bCs/>
                <w:color w:val="auto"/>
                <w:kern w:val="0"/>
                <w:sz w:val="24"/>
                <w:szCs w:val="24"/>
                <w:highlight w:val="none"/>
                <w:lang w:val="en-US" w:eastAsia="zh-CN"/>
              </w:rPr>
              <w:t>1、2、3标段</w:t>
            </w:r>
            <w:r>
              <w:rPr>
                <w:rFonts w:hint="eastAsia" w:ascii="仿宋" w:hAnsi="仿宋" w:eastAsia="仿宋" w:cs="仿宋"/>
                <w:color w:val="auto"/>
                <w:kern w:val="0"/>
                <w:sz w:val="24"/>
                <w:szCs w:val="24"/>
                <w:highlight w:val="none"/>
                <w:lang w:val="en-US" w:eastAsia="zh-CN"/>
              </w:rPr>
              <w:t>的招标</w:t>
            </w:r>
            <w:r>
              <w:rPr>
                <w:rFonts w:hint="eastAsia" w:ascii="仿宋" w:hAnsi="仿宋" w:eastAsia="仿宋" w:cs="仿宋"/>
                <w:color w:val="auto"/>
                <w:kern w:val="0"/>
                <w:sz w:val="24"/>
                <w:szCs w:val="24"/>
                <w:highlight w:val="none"/>
              </w:rPr>
              <w:t>下浮率</w:t>
            </w:r>
            <w:r>
              <w:rPr>
                <w:rFonts w:hint="eastAsia" w:ascii="仿宋" w:hAnsi="仿宋" w:eastAsia="仿宋" w:cs="仿宋"/>
                <w:color w:val="auto"/>
                <w:kern w:val="0"/>
                <w:sz w:val="24"/>
                <w:szCs w:val="24"/>
                <w:highlight w:val="none"/>
                <w:lang w:val="en-US" w:eastAsia="zh-CN"/>
              </w:rPr>
              <w:t>K</w:t>
            </w:r>
            <w:r>
              <w:rPr>
                <w:rFonts w:hint="eastAsia" w:ascii="仿宋" w:hAnsi="仿宋" w:eastAsia="仿宋" w:cs="仿宋"/>
                <w:b/>
                <w:bCs/>
                <w:color w:val="auto"/>
                <w:kern w:val="0"/>
                <w:sz w:val="24"/>
                <w:szCs w:val="24"/>
                <w:highlight w:val="none"/>
                <w:lang w:eastAsia="zh-CN"/>
              </w:rPr>
              <w:t>（第</w:t>
            </w:r>
            <w:r>
              <w:rPr>
                <w:rFonts w:hint="eastAsia" w:ascii="仿宋" w:hAnsi="仿宋" w:eastAsia="仿宋" w:cs="仿宋"/>
                <w:b/>
                <w:bCs/>
                <w:color w:val="auto"/>
                <w:kern w:val="0"/>
                <w:sz w:val="24"/>
                <w:szCs w:val="24"/>
                <w:highlight w:val="none"/>
                <w:lang w:val="en-US" w:eastAsia="zh-CN"/>
              </w:rPr>
              <w:t>1、2、3标段的下浮率范围均为3</w:t>
            </w:r>
            <w:r>
              <w:rPr>
                <w:rFonts w:hint="eastAsia" w:ascii="仿宋" w:hAnsi="仿宋" w:eastAsia="仿宋" w:cs="仿宋"/>
                <w:b/>
                <w:bCs/>
                <w:color w:val="auto"/>
                <w:kern w:val="0"/>
                <w:sz w:val="24"/>
                <w:szCs w:val="24"/>
                <w:highlight w:val="none"/>
                <w:lang w:eastAsia="zh-CN"/>
              </w:rPr>
              <w:t>%</w:t>
            </w:r>
            <w:r>
              <w:rPr>
                <w:rFonts w:hint="eastAsia" w:ascii="仿宋" w:hAnsi="仿宋" w:eastAsia="仿宋" w:cs="仿宋"/>
                <w:b/>
                <w:bCs/>
                <w:color w:val="auto"/>
                <w:kern w:val="0"/>
                <w:sz w:val="24"/>
                <w:szCs w:val="24"/>
                <w:highlight w:val="none"/>
              </w:rPr>
              <w:t>～</w:t>
            </w:r>
            <w:r>
              <w:rPr>
                <w:rFonts w:hint="eastAsia" w:ascii="仿宋" w:hAnsi="仿宋" w:eastAsia="仿宋" w:cs="仿宋"/>
                <w:b/>
                <w:bCs/>
                <w:color w:val="auto"/>
                <w:kern w:val="0"/>
                <w:sz w:val="24"/>
                <w:szCs w:val="24"/>
                <w:highlight w:val="none"/>
                <w:lang w:val="en-US" w:eastAsia="zh-CN"/>
              </w:rPr>
              <w:t>6</w:t>
            </w:r>
            <w:r>
              <w:rPr>
                <w:rFonts w:hint="eastAsia" w:ascii="仿宋" w:hAnsi="仿宋" w:eastAsia="仿宋" w:cs="仿宋"/>
                <w:b/>
                <w:bCs/>
                <w:color w:val="auto"/>
                <w:kern w:val="0"/>
                <w:sz w:val="24"/>
                <w:szCs w:val="24"/>
                <w:highlight w:val="none"/>
              </w:rPr>
              <w:t>%</w:t>
            </w:r>
            <w:r>
              <w:rPr>
                <w:rFonts w:hint="eastAsia" w:ascii="仿宋" w:hAnsi="仿宋" w:eastAsia="仿宋" w:cs="仿宋"/>
                <w:b/>
                <w:bCs/>
                <w:color w:val="auto"/>
                <w:kern w:val="0"/>
                <w:sz w:val="24"/>
                <w:szCs w:val="24"/>
                <w:highlight w:val="none"/>
                <w:lang w:eastAsia="zh-CN"/>
              </w:rPr>
              <w:t>，下浮率平均值四舍五入取整到0.001%）。</w:t>
            </w:r>
          </w:p>
          <w:p>
            <w:pPr>
              <w:spacing w:line="400" w:lineRule="exact"/>
              <w:ind w:firstLine="360" w:firstLineChars="150"/>
              <w:rPr>
                <w:rFonts w:hint="eastAsia" w:ascii="仿宋" w:hAnsi="仿宋" w:eastAsia="仿宋" w:cs="仿宋"/>
                <w:b/>
                <w:bCs/>
                <w:color w:val="auto"/>
                <w:kern w:val="0"/>
                <w:sz w:val="24"/>
                <w:szCs w:val="24"/>
                <w:highlight w:val="none"/>
                <w:lang w:eastAsia="zh-CN"/>
              </w:rPr>
            </w:pPr>
          </w:p>
          <w:p>
            <w:pPr>
              <w:spacing w:line="40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标段</w:t>
            </w:r>
            <w:r>
              <w:rPr>
                <w:rFonts w:hint="eastAsia" w:ascii="仿宋" w:hAnsi="仿宋" w:eastAsia="仿宋" w:cs="仿宋"/>
                <w:color w:val="auto"/>
                <w:sz w:val="24"/>
                <w:szCs w:val="24"/>
                <w:highlight w:val="none"/>
              </w:rPr>
              <w:t>最高</w:t>
            </w:r>
            <w:r>
              <w:rPr>
                <w:rFonts w:hint="eastAsia" w:ascii="仿宋" w:hAnsi="仿宋" w:eastAsia="仿宋" w:cs="仿宋"/>
                <w:color w:val="auto"/>
                <w:sz w:val="24"/>
                <w:szCs w:val="24"/>
                <w:highlight w:val="none"/>
                <w:lang w:val="en-US" w:eastAsia="zh-CN"/>
              </w:rPr>
              <w:t>评</w:t>
            </w:r>
            <w:r>
              <w:rPr>
                <w:rFonts w:hint="eastAsia" w:ascii="仿宋" w:hAnsi="仿宋" w:eastAsia="仿宋" w:cs="仿宋"/>
                <w:color w:val="auto"/>
                <w:sz w:val="24"/>
                <w:szCs w:val="24"/>
                <w:highlight w:val="none"/>
              </w:rPr>
              <w:t>标限价</w:t>
            </w:r>
            <w:r>
              <w:rPr>
                <w:rFonts w:hint="eastAsia" w:ascii="仿宋" w:hAnsi="仿宋" w:eastAsia="仿宋" w:cs="仿宋"/>
                <w:color w:val="auto"/>
                <w:sz w:val="24"/>
                <w:szCs w:val="24"/>
                <w:highlight w:val="none"/>
                <w:lang w:val="en-US" w:eastAsia="zh-CN"/>
              </w:rPr>
              <w:t>A</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标段</w:t>
            </w:r>
            <w:r>
              <w:rPr>
                <w:rFonts w:hint="eastAsia" w:ascii="仿宋" w:hAnsi="仿宋" w:eastAsia="仿宋" w:cs="仿宋"/>
                <w:color w:val="auto"/>
                <w:sz w:val="24"/>
                <w:szCs w:val="24"/>
                <w:highlight w:val="none"/>
              </w:rPr>
              <w:t>控制价×（1-下浮率</w:t>
            </w:r>
            <w:r>
              <w:rPr>
                <w:rFonts w:hint="eastAsia" w:ascii="仿宋" w:hAnsi="仿宋" w:eastAsia="仿宋" w:cs="仿宋"/>
                <w:color w:val="auto"/>
                <w:sz w:val="24"/>
                <w:szCs w:val="24"/>
                <w:highlight w:val="none"/>
                <w:lang w:val="en-US" w:eastAsia="zh-CN"/>
              </w:rPr>
              <w:t>K</w:t>
            </w:r>
            <w:r>
              <w:rPr>
                <w:rFonts w:hint="eastAsia" w:ascii="仿宋" w:hAnsi="仿宋" w:eastAsia="仿宋" w:cs="仿宋"/>
                <w:color w:val="auto"/>
                <w:sz w:val="24"/>
                <w:szCs w:val="24"/>
                <w:highlight w:val="none"/>
              </w:rPr>
              <w:t>）</w:t>
            </w:r>
          </w:p>
          <w:p>
            <w:pPr>
              <w:spacing w:line="400" w:lineRule="exact"/>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 xml:space="preserve"> </w:t>
            </w:r>
            <w:r>
              <w:rPr>
                <w:rFonts w:hint="eastAsia" w:ascii="仿宋" w:hAnsi="仿宋" w:eastAsia="仿宋" w:cs="仿宋"/>
                <w:szCs w:val="24"/>
                <w:highlight w:val="none"/>
              </w:rPr>
              <w:t xml:space="preserve"> </w:t>
            </w:r>
            <w:r>
              <w:rPr>
                <w:rFonts w:hint="eastAsia" w:ascii="仿宋" w:hAnsi="仿宋" w:eastAsia="仿宋" w:cs="仿宋"/>
                <w:szCs w:val="24"/>
                <w:highlight w:val="none"/>
                <w:lang w:val="en-US" w:eastAsia="zh-CN"/>
              </w:rPr>
              <w:t xml:space="preserve"> </w:t>
            </w:r>
            <w:r>
              <w:rPr>
                <w:rFonts w:hint="eastAsia" w:ascii="仿宋" w:hAnsi="仿宋" w:eastAsia="仿宋" w:cs="仿宋"/>
                <w:color w:val="auto"/>
                <w:kern w:val="0"/>
                <w:sz w:val="24"/>
                <w:szCs w:val="24"/>
                <w:highlight w:val="none"/>
                <w:lang w:eastAsia="zh-CN"/>
              </w:rPr>
              <w:t>项目</w:t>
            </w:r>
            <w:r>
              <w:rPr>
                <w:rFonts w:hint="eastAsia" w:ascii="仿宋" w:hAnsi="仿宋" w:eastAsia="仿宋" w:cs="仿宋"/>
                <w:color w:val="auto"/>
                <w:sz w:val="24"/>
                <w:szCs w:val="24"/>
                <w:highlight w:val="none"/>
              </w:rPr>
              <w:t>最高</w:t>
            </w:r>
            <w:r>
              <w:rPr>
                <w:rFonts w:hint="eastAsia" w:ascii="仿宋" w:hAnsi="仿宋" w:eastAsia="仿宋" w:cs="仿宋"/>
                <w:color w:val="auto"/>
                <w:sz w:val="24"/>
                <w:szCs w:val="24"/>
                <w:highlight w:val="none"/>
                <w:lang w:val="en-US" w:eastAsia="zh-CN"/>
              </w:rPr>
              <w:t>评</w:t>
            </w:r>
            <w:r>
              <w:rPr>
                <w:rFonts w:hint="eastAsia" w:ascii="仿宋" w:hAnsi="仿宋" w:eastAsia="仿宋" w:cs="仿宋"/>
                <w:color w:val="auto"/>
                <w:sz w:val="24"/>
                <w:szCs w:val="24"/>
                <w:highlight w:val="none"/>
              </w:rPr>
              <w:t>标限价</w:t>
            </w:r>
            <w:r>
              <w:rPr>
                <w:rFonts w:hint="eastAsia" w:ascii="仿宋" w:hAnsi="仿宋" w:eastAsia="仿宋" w:cs="仿宋"/>
                <w:color w:val="auto"/>
                <w:kern w:val="0"/>
                <w:sz w:val="24"/>
                <w:szCs w:val="24"/>
                <w:highlight w:val="none"/>
              </w:rPr>
              <w:t>＝</w:t>
            </w:r>
            <w:r>
              <w:rPr>
                <w:rFonts w:hint="eastAsia" w:ascii="仿宋" w:hAnsi="仿宋" w:eastAsia="仿宋" w:cs="仿宋"/>
                <w:color w:val="auto"/>
                <w:kern w:val="0"/>
                <w:sz w:val="24"/>
                <w:szCs w:val="24"/>
                <w:highlight w:val="none"/>
                <w:lang w:eastAsia="zh-CN"/>
              </w:rPr>
              <w:t>项目</w:t>
            </w:r>
            <w:r>
              <w:rPr>
                <w:rFonts w:hint="eastAsia" w:ascii="仿宋" w:hAnsi="仿宋" w:eastAsia="仿宋" w:cs="仿宋"/>
                <w:color w:val="auto"/>
                <w:kern w:val="0"/>
                <w:sz w:val="24"/>
                <w:szCs w:val="24"/>
                <w:highlight w:val="none"/>
              </w:rPr>
              <w:t>控制价×（1-下浮率</w:t>
            </w:r>
            <w:r>
              <w:rPr>
                <w:rFonts w:hint="eastAsia" w:ascii="仿宋" w:hAnsi="仿宋" w:eastAsia="仿宋" w:cs="仿宋"/>
                <w:color w:val="auto"/>
                <w:sz w:val="24"/>
                <w:szCs w:val="24"/>
                <w:highlight w:val="none"/>
                <w:lang w:val="en-US" w:eastAsia="zh-CN"/>
              </w:rPr>
              <w:t>K</w:t>
            </w:r>
            <w:r>
              <w:rPr>
                <w:rFonts w:hint="eastAsia" w:ascii="仿宋" w:hAnsi="仿宋" w:eastAsia="仿宋" w:cs="仿宋"/>
                <w:color w:val="auto"/>
                <w:kern w:val="0"/>
                <w:sz w:val="24"/>
                <w:szCs w:val="24"/>
                <w:highlight w:val="none"/>
              </w:rPr>
              <w:t>）</w:t>
            </w:r>
          </w:p>
          <w:p>
            <w:pPr>
              <w:spacing w:line="400" w:lineRule="exact"/>
              <w:ind w:firstLine="240" w:firstLineChars="100"/>
              <w:rPr>
                <w:rFonts w:hint="eastAsia" w:ascii="仿宋" w:hAnsi="仿宋" w:eastAsia="仿宋" w:cs="仿宋"/>
                <w:color w:val="auto"/>
                <w:sz w:val="24"/>
                <w:szCs w:val="24"/>
                <w:highlight w:val="none"/>
                <w:lang w:val="en-US" w:eastAsia="zh-CN"/>
              </w:rPr>
            </w:pPr>
          </w:p>
          <w:p>
            <w:pPr>
              <w:spacing w:line="360" w:lineRule="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w:t>
            </w:r>
            <w:r>
              <w:rPr>
                <w:rFonts w:hint="eastAsia" w:ascii="仿宋" w:hAnsi="仿宋" w:eastAsia="仿宋" w:cs="仿宋"/>
                <w:color w:val="auto"/>
                <w:kern w:val="0"/>
                <w:sz w:val="24"/>
                <w:szCs w:val="24"/>
                <w:highlight w:val="none"/>
                <w:lang w:val="en-US" w:eastAsia="zh-CN"/>
              </w:rPr>
              <w:t>3</w:t>
            </w:r>
            <w:r>
              <w:rPr>
                <w:rFonts w:hint="eastAsia" w:ascii="仿宋" w:hAnsi="仿宋" w:eastAsia="仿宋" w:cs="仿宋"/>
                <w:color w:val="auto"/>
                <w:kern w:val="0"/>
                <w:sz w:val="24"/>
                <w:szCs w:val="24"/>
                <w:highlight w:val="none"/>
              </w:rPr>
              <w:t>）有效评标价范围</w:t>
            </w:r>
          </w:p>
          <w:p>
            <w:pPr>
              <w:spacing w:line="400" w:lineRule="exact"/>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有效评标价范围为：</w:t>
            </w:r>
            <w:r>
              <w:rPr>
                <w:rFonts w:hint="eastAsia" w:ascii="仿宋" w:hAnsi="仿宋" w:eastAsia="仿宋" w:cs="仿宋"/>
                <w:color w:val="auto"/>
                <w:kern w:val="0"/>
                <w:sz w:val="24"/>
                <w:szCs w:val="24"/>
                <w:highlight w:val="none"/>
                <w:lang w:eastAsia="zh-CN"/>
              </w:rPr>
              <w:t>投标报价不大于标段最高评标限价，且标段内各项目报价不大于相应项目最高评标限价（项目</w:t>
            </w:r>
            <w:r>
              <w:rPr>
                <w:rFonts w:hint="eastAsia" w:ascii="仿宋" w:hAnsi="仿宋" w:eastAsia="仿宋" w:cs="仿宋"/>
                <w:color w:val="auto"/>
                <w:sz w:val="24"/>
                <w:szCs w:val="24"/>
                <w:highlight w:val="none"/>
              </w:rPr>
              <w:t>最高</w:t>
            </w:r>
            <w:r>
              <w:rPr>
                <w:rFonts w:hint="eastAsia" w:ascii="仿宋" w:hAnsi="仿宋" w:eastAsia="仿宋" w:cs="仿宋"/>
                <w:color w:val="auto"/>
                <w:sz w:val="24"/>
                <w:szCs w:val="24"/>
                <w:highlight w:val="none"/>
                <w:lang w:val="en-US" w:eastAsia="zh-CN"/>
              </w:rPr>
              <w:t>评</w:t>
            </w:r>
            <w:r>
              <w:rPr>
                <w:rFonts w:hint="eastAsia" w:ascii="仿宋" w:hAnsi="仿宋" w:eastAsia="仿宋" w:cs="仿宋"/>
                <w:color w:val="auto"/>
                <w:sz w:val="24"/>
                <w:szCs w:val="24"/>
                <w:highlight w:val="none"/>
              </w:rPr>
              <w:t>标限价</w:t>
            </w:r>
            <w:r>
              <w:rPr>
                <w:rFonts w:hint="eastAsia" w:ascii="仿宋" w:hAnsi="仿宋" w:eastAsia="仿宋" w:cs="仿宋"/>
                <w:color w:val="auto"/>
                <w:kern w:val="0"/>
                <w:sz w:val="24"/>
                <w:szCs w:val="24"/>
                <w:highlight w:val="none"/>
              </w:rPr>
              <w:t>＝</w:t>
            </w:r>
            <w:r>
              <w:rPr>
                <w:rFonts w:hint="eastAsia" w:ascii="仿宋" w:hAnsi="仿宋" w:eastAsia="仿宋" w:cs="仿宋"/>
                <w:color w:val="auto"/>
                <w:kern w:val="0"/>
                <w:sz w:val="24"/>
                <w:szCs w:val="24"/>
                <w:highlight w:val="none"/>
                <w:lang w:eastAsia="zh-CN"/>
              </w:rPr>
              <w:t>项目</w:t>
            </w:r>
            <w:r>
              <w:rPr>
                <w:rFonts w:hint="eastAsia" w:ascii="仿宋" w:hAnsi="仿宋" w:eastAsia="仿宋" w:cs="仿宋"/>
                <w:color w:val="auto"/>
                <w:kern w:val="0"/>
                <w:sz w:val="24"/>
                <w:szCs w:val="24"/>
                <w:highlight w:val="none"/>
              </w:rPr>
              <w:t>控制价×（1-下浮率</w:t>
            </w:r>
            <w:r>
              <w:rPr>
                <w:rFonts w:hint="eastAsia" w:ascii="仿宋" w:hAnsi="仿宋" w:eastAsia="仿宋" w:cs="仿宋"/>
                <w:color w:val="auto"/>
                <w:sz w:val="24"/>
                <w:szCs w:val="24"/>
                <w:highlight w:val="none"/>
                <w:lang w:val="en-US" w:eastAsia="zh-CN"/>
              </w:rPr>
              <w:t>K</w:t>
            </w:r>
            <w:r>
              <w:rPr>
                <w:rFonts w:hint="eastAsia" w:ascii="仿宋" w:hAnsi="仿宋" w:eastAsia="仿宋" w:cs="仿宋"/>
                <w:color w:val="auto"/>
                <w:kern w:val="0"/>
                <w:sz w:val="24"/>
                <w:szCs w:val="24"/>
                <w:highlight w:val="none"/>
              </w:rPr>
              <w:t>）</w:t>
            </w:r>
            <w:r>
              <w:rPr>
                <w:rFonts w:hint="eastAsia" w:ascii="仿宋" w:hAnsi="仿宋" w:eastAsia="仿宋" w:cs="仿宋"/>
                <w:color w:val="auto"/>
                <w:kern w:val="0"/>
                <w:sz w:val="24"/>
                <w:szCs w:val="24"/>
                <w:highlight w:val="none"/>
                <w:lang w:eastAsia="zh-CN"/>
              </w:rPr>
              <w:t>）的评标价为有效评标价。</w:t>
            </w:r>
            <w:r>
              <w:rPr>
                <w:rFonts w:hint="eastAsia" w:ascii="仿宋" w:hAnsi="仿宋" w:eastAsia="仿宋" w:cs="仿宋"/>
                <w:color w:val="auto"/>
                <w:kern w:val="0"/>
                <w:sz w:val="24"/>
                <w:szCs w:val="24"/>
                <w:highlight w:val="none"/>
              </w:rPr>
              <w:t>大于标段最高</w:t>
            </w:r>
            <w:r>
              <w:rPr>
                <w:rFonts w:hint="eastAsia" w:ascii="仿宋" w:hAnsi="仿宋" w:eastAsia="仿宋" w:cs="仿宋"/>
                <w:color w:val="auto"/>
                <w:kern w:val="0"/>
                <w:sz w:val="24"/>
                <w:szCs w:val="24"/>
                <w:highlight w:val="none"/>
                <w:lang w:eastAsia="zh-CN"/>
              </w:rPr>
              <w:t>评</w:t>
            </w:r>
            <w:r>
              <w:rPr>
                <w:rFonts w:hint="eastAsia" w:ascii="仿宋" w:hAnsi="仿宋" w:eastAsia="仿宋" w:cs="仿宋"/>
                <w:color w:val="auto"/>
                <w:kern w:val="0"/>
                <w:sz w:val="24"/>
                <w:szCs w:val="24"/>
                <w:highlight w:val="none"/>
              </w:rPr>
              <w:t>标限价的投标报价，</w:t>
            </w:r>
            <w:r>
              <w:rPr>
                <w:rFonts w:hint="eastAsia" w:ascii="仿宋" w:hAnsi="仿宋" w:eastAsia="仿宋" w:cs="仿宋"/>
                <w:color w:val="auto"/>
                <w:kern w:val="0"/>
                <w:sz w:val="24"/>
                <w:szCs w:val="24"/>
                <w:highlight w:val="none"/>
                <w:lang w:eastAsia="zh-CN"/>
              </w:rPr>
              <w:t>或</w:t>
            </w:r>
            <w:r>
              <w:rPr>
                <w:rFonts w:hint="eastAsia" w:ascii="仿宋" w:hAnsi="仿宋" w:eastAsia="仿宋" w:cs="仿宋"/>
                <w:color w:val="auto"/>
                <w:kern w:val="0"/>
                <w:sz w:val="24"/>
                <w:szCs w:val="24"/>
                <w:highlight w:val="none"/>
              </w:rPr>
              <w:t>大于标段内任一</w:t>
            </w:r>
            <w:r>
              <w:rPr>
                <w:rFonts w:hint="eastAsia" w:ascii="仿宋" w:hAnsi="仿宋" w:eastAsia="仿宋" w:cs="仿宋"/>
                <w:color w:val="auto"/>
                <w:kern w:val="0"/>
                <w:sz w:val="24"/>
                <w:szCs w:val="24"/>
                <w:highlight w:val="none"/>
                <w:lang w:eastAsia="zh-CN"/>
              </w:rPr>
              <w:t>项目</w:t>
            </w:r>
            <w:r>
              <w:rPr>
                <w:rFonts w:hint="eastAsia" w:ascii="仿宋" w:hAnsi="仿宋" w:eastAsia="仿宋" w:cs="仿宋"/>
                <w:color w:val="auto"/>
                <w:kern w:val="0"/>
                <w:sz w:val="24"/>
                <w:szCs w:val="24"/>
                <w:highlight w:val="none"/>
              </w:rPr>
              <w:t>最高</w:t>
            </w:r>
            <w:r>
              <w:rPr>
                <w:rFonts w:hint="eastAsia" w:ascii="仿宋" w:hAnsi="仿宋" w:eastAsia="仿宋" w:cs="仿宋"/>
                <w:color w:val="auto"/>
                <w:kern w:val="0"/>
                <w:sz w:val="24"/>
                <w:szCs w:val="24"/>
                <w:highlight w:val="none"/>
                <w:lang w:eastAsia="zh-CN"/>
              </w:rPr>
              <w:t>评</w:t>
            </w:r>
            <w:r>
              <w:rPr>
                <w:rFonts w:hint="eastAsia" w:ascii="仿宋" w:hAnsi="仿宋" w:eastAsia="仿宋" w:cs="仿宋"/>
                <w:color w:val="auto"/>
                <w:kern w:val="0"/>
                <w:sz w:val="24"/>
                <w:szCs w:val="24"/>
                <w:highlight w:val="none"/>
              </w:rPr>
              <w:t>标限价</w:t>
            </w:r>
            <w:r>
              <w:rPr>
                <w:rFonts w:hint="eastAsia" w:ascii="仿宋" w:hAnsi="仿宋" w:eastAsia="仿宋" w:cs="仿宋"/>
                <w:color w:val="auto"/>
                <w:kern w:val="0"/>
                <w:sz w:val="24"/>
                <w:szCs w:val="24"/>
                <w:highlight w:val="none"/>
                <w:lang w:eastAsia="zh-CN"/>
              </w:rPr>
              <w:t>（项目</w:t>
            </w:r>
            <w:r>
              <w:rPr>
                <w:rFonts w:hint="eastAsia" w:ascii="仿宋" w:hAnsi="仿宋" w:eastAsia="仿宋" w:cs="仿宋"/>
                <w:color w:val="auto"/>
                <w:sz w:val="24"/>
                <w:szCs w:val="24"/>
                <w:highlight w:val="none"/>
              </w:rPr>
              <w:t>最高</w:t>
            </w:r>
            <w:r>
              <w:rPr>
                <w:rFonts w:hint="eastAsia" w:ascii="仿宋" w:hAnsi="仿宋" w:eastAsia="仿宋" w:cs="仿宋"/>
                <w:color w:val="auto"/>
                <w:sz w:val="24"/>
                <w:szCs w:val="24"/>
                <w:highlight w:val="none"/>
                <w:lang w:val="en-US" w:eastAsia="zh-CN"/>
              </w:rPr>
              <w:t>评</w:t>
            </w:r>
            <w:r>
              <w:rPr>
                <w:rFonts w:hint="eastAsia" w:ascii="仿宋" w:hAnsi="仿宋" w:eastAsia="仿宋" w:cs="仿宋"/>
                <w:color w:val="auto"/>
                <w:sz w:val="24"/>
                <w:szCs w:val="24"/>
                <w:highlight w:val="none"/>
              </w:rPr>
              <w:t>标限价</w:t>
            </w:r>
            <w:r>
              <w:rPr>
                <w:rFonts w:hint="eastAsia" w:ascii="仿宋" w:hAnsi="仿宋" w:eastAsia="仿宋" w:cs="仿宋"/>
                <w:color w:val="auto"/>
                <w:kern w:val="0"/>
                <w:sz w:val="24"/>
                <w:szCs w:val="24"/>
                <w:highlight w:val="none"/>
              </w:rPr>
              <w:t>＝</w:t>
            </w:r>
            <w:r>
              <w:rPr>
                <w:rFonts w:hint="eastAsia" w:ascii="仿宋" w:hAnsi="仿宋" w:eastAsia="仿宋" w:cs="仿宋"/>
                <w:color w:val="auto"/>
                <w:kern w:val="0"/>
                <w:sz w:val="24"/>
                <w:szCs w:val="24"/>
                <w:highlight w:val="none"/>
                <w:lang w:eastAsia="zh-CN"/>
              </w:rPr>
              <w:t>项目</w:t>
            </w:r>
            <w:r>
              <w:rPr>
                <w:rFonts w:hint="eastAsia" w:ascii="仿宋" w:hAnsi="仿宋" w:eastAsia="仿宋" w:cs="仿宋"/>
                <w:color w:val="auto"/>
                <w:kern w:val="0"/>
                <w:sz w:val="24"/>
                <w:szCs w:val="24"/>
                <w:highlight w:val="none"/>
              </w:rPr>
              <w:t>控制价×（1-下浮率</w:t>
            </w:r>
            <w:r>
              <w:rPr>
                <w:rFonts w:hint="eastAsia" w:ascii="仿宋" w:hAnsi="仿宋" w:eastAsia="仿宋" w:cs="仿宋"/>
                <w:color w:val="auto"/>
                <w:sz w:val="24"/>
                <w:szCs w:val="24"/>
                <w:highlight w:val="none"/>
                <w:lang w:val="en-US" w:eastAsia="zh-CN"/>
              </w:rPr>
              <w:t>K</w:t>
            </w:r>
            <w:r>
              <w:rPr>
                <w:rFonts w:hint="eastAsia" w:ascii="仿宋" w:hAnsi="仿宋" w:eastAsia="仿宋" w:cs="仿宋"/>
                <w:color w:val="auto"/>
                <w:kern w:val="0"/>
                <w:sz w:val="24"/>
                <w:szCs w:val="24"/>
                <w:highlight w:val="none"/>
              </w:rPr>
              <w:t>）</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rPr>
              <w:t>的</w:t>
            </w:r>
            <w:r>
              <w:rPr>
                <w:rFonts w:hint="eastAsia" w:ascii="仿宋" w:hAnsi="仿宋" w:eastAsia="仿宋" w:cs="仿宋"/>
                <w:color w:val="auto"/>
                <w:kern w:val="0"/>
                <w:sz w:val="24"/>
                <w:szCs w:val="24"/>
                <w:highlight w:val="none"/>
                <w:lang w:eastAsia="zh-CN"/>
              </w:rPr>
              <w:t>项目</w:t>
            </w:r>
            <w:r>
              <w:rPr>
                <w:rFonts w:hint="eastAsia" w:ascii="仿宋" w:hAnsi="仿宋" w:eastAsia="仿宋" w:cs="仿宋"/>
                <w:color w:val="auto"/>
                <w:kern w:val="0"/>
                <w:sz w:val="24"/>
                <w:szCs w:val="24"/>
                <w:highlight w:val="none"/>
              </w:rPr>
              <w:t>报价，将否决其投标。本次招标不接受投标人对其投标报价所作出的任何形式的调价函或调价说明。</w:t>
            </w:r>
          </w:p>
          <w:p>
            <w:pPr>
              <w:spacing w:line="400" w:lineRule="exact"/>
              <w:ind w:firstLine="480" w:firstLineChars="200"/>
              <w:rPr>
                <w:rFonts w:hint="eastAsia" w:ascii="仿宋" w:hAnsi="仿宋" w:eastAsia="仿宋" w:cs="仿宋"/>
                <w:color w:val="auto"/>
                <w:kern w:val="0"/>
                <w:sz w:val="24"/>
                <w:szCs w:val="24"/>
                <w:highlight w:val="none"/>
              </w:rPr>
            </w:pPr>
          </w:p>
          <w:p>
            <w:pPr>
              <w:spacing w:line="360" w:lineRule="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w:t>
            </w:r>
            <w:r>
              <w:rPr>
                <w:rFonts w:hint="eastAsia" w:ascii="仿宋" w:hAnsi="仿宋" w:eastAsia="仿宋" w:cs="仿宋"/>
                <w:color w:val="auto"/>
                <w:kern w:val="0"/>
                <w:sz w:val="24"/>
                <w:szCs w:val="24"/>
                <w:highlight w:val="none"/>
                <w:lang w:val="en-US" w:eastAsia="zh-CN"/>
              </w:rPr>
              <w:t>4</w:t>
            </w:r>
            <w:r>
              <w:rPr>
                <w:rFonts w:hint="eastAsia" w:ascii="仿宋" w:hAnsi="仿宋" w:eastAsia="仿宋" w:cs="仿宋"/>
                <w:color w:val="auto"/>
                <w:kern w:val="0"/>
                <w:sz w:val="24"/>
                <w:szCs w:val="24"/>
                <w:highlight w:val="none"/>
              </w:rPr>
              <w:t>）评标基准价D的确定</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评标基准价的计算公式为：D=A×（1-M）</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式中：A为</w:t>
            </w:r>
            <w:r>
              <w:rPr>
                <w:rFonts w:hint="eastAsia" w:ascii="仿宋" w:hAnsi="仿宋" w:eastAsia="仿宋" w:cs="仿宋"/>
                <w:color w:val="auto"/>
                <w:sz w:val="24"/>
                <w:szCs w:val="24"/>
                <w:highlight w:val="none"/>
                <w:lang w:eastAsia="zh-CN"/>
              </w:rPr>
              <w:t>标段最高评标限价</w:t>
            </w:r>
            <w:r>
              <w:rPr>
                <w:rFonts w:hint="eastAsia" w:ascii="仿宋" w:hAnsi="仿宋" w:eastAsia="仿宋" w:cs="仿宋"/>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right="0" w:rightChars="0" w:firstLine="720" w:firstLineChars="3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M=</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%（M值的取值为</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right="0" w:rightChars="0"/>
              <w:jc w:val="both"/>
              <w:textAlignment w:val="auto"/>
              <w:outlineLvl w:val="9"/>
              <w:rPr>
                <w:rFonts w:hint="eastAsia" w:ascii="仿宋" w:hAnsi="仿宋" w:eastAsia="仿宋" w:cs="仿宋"/>
                <w:b/>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right="0" w:rightChars="0"/>
              <w:jc w:val="both"/>
              <w:textAlignment w:val="auto"/>
              <w:outlineLvl w:val="9"/>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备注：</w:t>
            </w:r>
            <w:r>
              <w:rPr>
                <w:rFonts w:hint="eastAsia" w:ascii="仿宋" w:hAnsi="仿宋" w:eastAsia="仿宋" w:cs="仿宋"/>
                <w:b/>
                <w:color w:val="auto"/>
                <w:sz w:val="24"/>
                <w:szCs w:val="24"/>
                <w:highlight w:val="none"/>
                <w:lang w:eastAsia="zh-CN"/>
              </w:rPr>
              <w:t>标段</w:t>
            </w:r>
            <w:r>
              <w:rPr>
                <w:rFonts w:hint="eastAsia" w:ascii="仿宋" w:hAnsi="仿宋" w:eastAsia="仿宋" w:cs="仿宋"/>
                <w:b/>
                <w:color w:val="auto"/>
                <w:sz w:val="24"/>
                <w:szCs w:val="24"/>
                <w:highlight w:val="none"/>
              </w:rPr>
              <w:t>最高</w:t>
            </w:r>
            <w:r>
              <w:rPr>
                <w:rFonts w:hint="eastAsia" w:ascii="仿宋" w:hAnsi="仿宋" w:eastAsia="仿宋" w:cs="仿宋"/>
                <w:b/>
                <w:color w:val="auto"/>
                <w:sz w:val="24"/>
                <w:szCs w:val="24"/>
                <w:highlight w:val="none"/>
                <w:lang w:val="en-US" w:eastAsia="zh-CN"/>
              </w:rPr>
              <w:t>评</w:t>
            </w:r>
            <w:r>
              <w:rPr>
                <w:rFonts w:hint="eastAsia" w:ascii="仿宋" w:hAnsi="仿宋" w:eastAsia="仿宋" w:cs="仿宋"/>
                <w:b/>
                <w:color w:val="auto"/>
                <w:sz w:val="24"/>
                <w:szCs w:val="24"/>
                <w:highlight w:val="none"/>
              </w:rPr>
              <w:t>标限价</w:t>
            </w:r>
            <w:r>
              <w:rPr>
                <w:rFonts w:hint="eastAsia" w:ascii="仿宋" w:hAnsi="仿宋" w:eastAsia="仿宋" w:cs="仿宋"/>
                <w:b/>
                <w:color w:val="auto"/>
                <w:sz w:val="24"/>
                <w:szCs w:val="24"/>
                <w:highlight w:val="none"/>
                <w:lang w:eastAsia="zh-CN"/>
              </w:rPr>
              <w:t>、</w:t>
            </w:r>
            <w:r>
              <w:rPr>
                <w:rFonts w:hint="eastAsia" w:ascii="仿宋" w:hAnsi="仿宋" w:eastAsia="仿宋" w:cs="仿宋"/>
                <w:b/>
                <w:color w:val="auto"/>
                <w:sz w:val="24"/>
                <w:szCs w:val="24"/>
                <w:highlight w:val="none"/>
              </w:rPr>
              <w:t>评标基准价四舍五入至个位整数元。</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right="0" w:rightChars="0"/>
              <w:jc w:val="both"/>
              <w:textAlignment w:val="auto"/>
              <w:outlineLvl w:val="9"/>
              <w:rPr>
                <w:rFonts w:hint="eastAsia" w:ascii="仿宋" w:hAnsi="仿宋" w:eastAsia="仿宋" w:cs="仿宋"/>
                <w:b/>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755" w:hRule="atLeast"/>
        </w:trPr>
        <w:tc>
          <w:tcPr>
            <w:tcW w:w="819" w:type="dxa"/>
            <w:vAlign w:val="center"/>
          </w:tcPr>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2.2.3</w:t>
            </w:r>
          </w:p>
        </w:tc>
        <w:tc>
          <w:tcPr>
            <w:tcW w:w="1147" w:type="dxa"/>
            <w:vAlign w:val="center"/>
          </w:tcPr>
          <w:p>
            <w:pPr>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评标价的偏差率计算公式</w:t>
            </w:r>
          </w:p>
        </w:tc>
        <w:tc>
          <w:tcPr>
            <w:tcW w:w="7854" w:type="dxa"/>
            <w:vAlign w:val="center"/>
          </w:tcPr>
          <w:p>
            <w:pPr>
              <w:rPr>
                <w:rFonts w:hint="eastAsia" w:ascii="仿宋" w:hAnsi="仿宋" w:eastAsia="仿宋" w:cs="仿宋"/>
                <w:color w:val="auto"/>
                <w:sz w:val="24"/>
                <w:szCs w:val="24"/>
                <w:highlight w:val="none"/>
              </w:rPr>
            </w:pPr>
          </w:p>
          <w:p>
            <w:pPr>
              <w:rPr>
                <w:rFonts w:hint="eastAsia" w:ascii="仿宋" w:hAnsi="仿宋" w:eastAsia="仿宋" w:cs="仿宋"/>
                <w:color w:val="auto"/>
                <w:sz w:val="24"/>
                <w:szCs w:val="24"/>
                <w:highlight w:val="none"/>
              </w:rPr>
            </w:pPr>
          </w:p>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偏差率=100% ×(投标人评标价－评标基准价)/评标基准价</w:t>
            </w:r>
          </w:p>
          <w:p>
            <w:pPr>
              <w:rPr>
                <w:rFonts w:hint="eastAsia" w:ascii="仿宋" w:hAnsi="仿宋" w:eastAsia="仿宋" w:cs="仿宋"/>
                <w:color w:val="auto"/>
                <w:sz w:val="24"/>
                <w:szCs w:val="24"/>
                <w:highlight w:val="none"/>
              </w:rPr>
            </w:pPr>
          </w:p>
          <w:p>
            <w:pPr>
              <w:rPr>
                <w:rFonts w:hint="eastAsia" w:ascii="仿宋" w:hAnsi="仿宋" w:eastAsia="仿宋" w:cs="仿宋"/>
                <w:color w:val="auto"/>
                <w:sz w:val="24"/>
                <w:szCs w:val="24"/>
                <w:highlight w:val="none"/>
              </w:rPr>
            </w:pPr>
          </w:p>
          <w:p>
            <w:pPr>
              <w:rPr>
                <w:rFonts w:hint="eastAsia" w:ascii="仿宋" w:hAnsi="仿宋" w:eastAsia="仿宋" w:cs="仿宋"/>
                <w:color w:val="auto"/>
                <w:sz w:val="24"/>
                <w:szCs w:val="24"/>
                <w:highlight w:val="none"/>
              </w:rPr>
            </w:pPr>
          </w:p>
        </w:tc>
      </w:tr>
    </w:tbl>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tbl>
      <w:tblPr>
        <w:tblStyle w:val="4"/>
        <w:tblW w:w="10055" w:type="dxa"/>
        <w:tblInd w:w="-31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2"/>
        <w:gridCol w:w="960"/>
        <w:gridCol w:w="965"/>
        <w:gridCol w:w="1265"/>
        <w:gridCol w:w="660"/>
        <w:gridCol w:w="546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83" w:hRule="atLeast"/>
        </w:trPr>
        <w:tc>
          <w:tcPr>
            <w:tcW w:w="10055" w:type="dxa"/>
            <w:gridSpan w:val="6"/>
            <w:vAlign w:val="center"/>
          </w:tcPr>
          <w:p>
            <w:pPr>
              <w:jc w:val="center"/>
              <w:rPr>
                <w:rFonts w:hint="eastAsia" w:ascii="仿宋" w:hAnsi="仿宋" w:eastAsia="仿宋" w:cs="仿宋"/>
                <w:color w:val="auto"/>
                <w:sz w:val="24"/>
                <w:szCs w:val="24"/>
                <w:highlight w:val="none"/>
                <w:lang w:eastAsia="zh-CN"/>
              </w:rPr>
            </w:pPr>
            <w:r>
              <w:rPr>
                <w:rFonts w:hint="eastAsia" w:ascii="仿宋" w:hAnsi="仿宋" w:eastAsia="仿宋" w:cs="仿宋"/>
                <w:b/>
                <w:bCs/>
                <w:color w:val="auto"/>
                <w:sz w:val="24"/>
                <w:szCs w:val="24"/>
                <w:highlight w:val="none"/>
                <w:lang w:eastAsia="zh-CN"/>
              </w:rPr>
              <w:t>适用第</w:t>
            </w:r>
            <w:r>
              <w:rPr>
                <w:rFonts w:hint="eastAsia" w:ascii="仿宋" w:hAnsi="仿宋" w:eastAsia="仿宋" w:cs="仿宋"/>
                <w:b/>
                <w:bCs/>
                <w:color w:val="auto"/>
                <w:sz w:val="24"/>
                <w:szCs w:val="24"/>
                <w:highlight w:val="none"/>
                <w:lang w:val="en-US" w:eastAsia="zh-CN"/>
              </w:rPr>
              <w:t>1标段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83" w:hRule="atLeast"/>
        </w:trPr>
        <w:tc>
          <w:tcPr>
            <w:tcW w:w="4592" w:type="dxa"/>
            <w:gridSpan w:val="5"/>
            <w:vAlign w:val="center"/>
          </w:tcPr>
          <w:p>
            <w:pPr>
              <w:spacing w:line="40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b/>
                <w:bCs/>
                <w:sz w:val="24"/>
                <w:szCs w:val="24"/>
                <w:highlight w:val="none"/>
              </w:rPr>
              <w:t>评分因素与权重分值</w:t>
            </w:r>
          </w:p>
        </w:tc>
        <w:tc>
          <w:tcPr>
            <w:tcW w:w="5463" w:type="dxa"/>
            <w:vMerge w:val="restart"/>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评分标准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5" w:hRule="atLeast"/>
        </w:trPr>
        <w:tc>
          <w:tcPr>
            <w:tcW w:w="742" w:type="dxa"/>
            <w:vAlign w:val="center"/>
          </w:tcPr>
          <w:p>
            <w:pPr>
              <w:spacing w:line="40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条款号</w:t>
            </w:r>
          </w:p>
        </w:tc>
        <w:tc>
          <w:tcPr>
            <w:tcW w:w="960"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评分</w:t>
            </w:r>
          </w:p>
          <w:p>
            <w:pPr>
              <w:spacing w:line="40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因素</w:t>
            </w:r>
          </w:p>
        </w:tc>
        <w:tc>
          <w:tcPr>
            <w:tcW w:w="965" w:type="dxa"/>
            <w:vAlign w:val="center"/>
          </w:tcPr>
          <w:p>
            <w:pPr>
              <w:spacing w:line="40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评分因素权重分值</w:t>
            </w:r>
          </w:p>
        </w:tc>
        <w:tc>
          <w:tcPr>
            <w:tcW w:w="1265" w:type="dxa"/>
            <w:vAlign w:val="center"/>
          </w:tcPr>
          <w:p>
            <w:pPr>
              <w:spacing w:line="40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各评分因素细分项</w:t>
            </w:r>
          </w:p>
        </w:tc>
        <w:tc>
          <w:tcPr>
            <w:tcW w:w="660" w:type="dxa"/>
            <w:vAlign w:val="center"/>
          </w:tcPr>
          <w:p>
            <w:pPr>
              <w:spacing w:line="40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分值</w:t>
            </w:r>
          </w:p>
        </w:tc>
        <w:tc>
          <w:tcPr>
            <w:tcW w:w="5463" w:type="dxa"/>
            <w:vMerge w:val="continue"/>
            <w:vAlign w:val="center"/>
          </w:tcPr>
          <w:p>
            <w:pPr>
              <w:jc w:val="center"/>
              <w:rPr>
                <w:rFonts w:hint="eastAsia" w:ascii="仿宋" w:hAnsi="仿宋" w:eastAsia="仿宋" w:cs="仿宋"/>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78" w:hRule="atLeast"/>
        </w:trPr>
        <w:tc>
          <w:tcPr>
            <w:tcW w:w="742" w:type="dxa"/>
            <w:vMerge w:val="restart"/>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sz w:val="24"/>
                <w:szCs w:val="24"/>
                <w:highlight w:val="none"/>
              </w:rPr>
              <w:t>2.2.4（1）</w:t>
            </w:r>
          </w:p>
        </w:tc>
        <w:tc>
          <w:tcPr>
            <w:tcW w:w="960" w:type="dxa"/>
            <w:vMerge w:val="restart"/>
            <w:vAlign w:val="center"/>
          </w:tcPr>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施工组织设计</w:t>
            </w: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color w:val="auto"/>
                <w:sz w:val="24"/>
                <w:szCs w:val="24"/>
                <w:highlight w:val="none"/>
              </w:rPr>
            </w:pPr>
          </w:p>
        </w:tc>
        <w:tc>
          <w:tcPr>
            <w:tcW w:w="965" w:type="dxa"/>
            <w:vMerge w:val="restart"/>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分</w:t>
            </w:r>
          </w:p>
        </w:tc>
        <w:tc>
          <w:tcPr>
            <w:tcW w:w="1265" w:type="dxa"/>
            <w:vAlign w:val="center"/>
          </w:tcPr>
          <w:p>
            <w:pPr>
              <w:spacing w:line="400" w:lineRule="exact"/>
              <w:ind w:left="0" w:leftChars="0" w:right="0" w:rightChars="0" w:firstLine="0" w:firstLineChars="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工期保证</w:t>
            </w:r>
          </w:p>
          <w:p>
            <w:pPr>
              <w:spacing w:line="400" w:lineRule="exact"/>
              <w:ind w:left="0" w:leftChars="0" w:right="0" w:righ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sz w:val="24"/>
                <w:szCs w:val="24"/>
                <w:highlight w:val="none"/>
              </w:rPr>
              <w:t>体系及保证措施</w:t>
            </w:r>
          </w:p>
        </w:tc>
        <w:tc>
          <w:tcPr>
            <w:tcW w:w="660" w:type="dxa"/>
            <w:vAlign w:val="center"/>
          </w:tcPr>
          <w:p>
            <w:pPr>
              <w:spacing w:line="400" w:lineRule="exac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lang w:val="en-US" w:eastAsia="zh-CN"/>
              </w:rPr>
              <w:t>2</w:t>
            </w:r>
            <w:r>
              <w:rPr>
                <w:rFonts w:hint="eastAsia" w:ascii="仿宋" w:hAnsi="仿宋" w:eastAsia="仿宋" w:cs="仿宋"/>
                <w:color w:val="000000"/>
                <w:sz w:val="24"/>
                <w:szCs w:val="24"/>
                <w:highlight w:val="none"/>
              </w:rPr>
              <w:t>分</w:t>
            </w:r>
          </w:p>
        </w:tc>
        <w:tc>
          <w:tcPr>
            <w:tcW w:w="5463" w:type="dxa"/>
            <w:vAlign w:val="center"/>
          </w:tcPr>
          <w:p>
            <w:pPr>
              <w:spacing w:line="400" w:lineRule="exact"/>
              <w:jc w:val="left"/>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 xml:space="preserve">1.进度控制措施得当，对本项目的工期重要性理解特别透彻，对地形地貌特征、重点工序、天气、关键设备故障、与其他承包人衔接、社会环境等问题有切实可行的应对或应急方案，计划科学合理，可操作性性高，得 </w:t>
            </w:r>
            <w:r>
              <w:rPr>
                <w:rFonts w:hint="eastAsia" w:ascii="仿宋_GB2312" w:hAnsi="仿宋_GB2312" w:eastAsia="仿宋_GB2312" w:cs="仿宋_GB2312"/>
                <w:color w:val="000000"/>
                <w:sz w:val="24"/>
                <w:szCs w:val="24"/>
                <w:highlight w:val="none"/>
                <w:lang w:val="en-US" w:eastAsia="zh-CN"/>
              </w:rPr>
              <w:t>1.6</w:t>
            </w:r>
            <w:r>
              <w:rPr>
                <w:rFonts w:hint="eastAsia" w:ascii="仿宋_GB2312" w:hAnsi="仿宋_GB2312" w:eastAsia="仿宋_GB2312" w:cs="仿宋_GB2312"/>
                <w:color w:val="000000"/>
                <w:sz w:val="24"/>
                <w:szCs w:val="24"/>
                <w:highlight w:val="none"/>
              </w:rPr>
              <w:t>～</w:t>
            </w:r>
            <w:r>
              <w:rPr>
                <w:rFonts w:hint="eastAsia" w:ascii="仿宋_GB2312" w:hAnsi="仿宋_GB2312" w:eastAsia="仿宋_GB2312" w:cs="仿宋_GB2312"/>
                <w:color w:val="000000"/>
                <w:sz w:val="24"/>
                <w:szCs w:val="24"/>
                <w:highlight w:val="none"/>
                <w:lang w:val="en-US" w:eastAsia="zh-CN"/>
              </w:rPr>
              <w:t>2</w:t>
            </w:r>
            <w:r>
              <w:rPr>
                <w:rFonts w:hint="eastAsia" w:ascii="仿宋_GB2312" w:hAnsi="仿宋_GB2312" w:eastAsia="仿宋_GB2312" w:cs="仿宋_GB2312"/>
                <w:color w:val="000000"/>
                <w:sz w:val="24"/>
                <w:szCs w:val="24"/>
                <w:highlight w:val="none"/>
              </w:rPr>
              <w:t>分；</w:t>
            </w:r>
          </w:p>
          <w:p>
            <w:pPr>
              <w:spacing w:line="400" w:lineRule="exact"/>
              <w:jc w:val="left"/>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2.工期保证体系及保证措施基本可行，内容较为充实、全面的，得</w:t>
            </w:r>
            <w:r>
              <w:rPr>
                <w:rFonts w:hint="eastAsia" w:ascii="仿宋_GB2312" w:hAnsi="仿宋_GB2312" w:eastAsia="仿宋_GB2312" w:cs="仿宋_GB2312"/>
                <w:color w:val="000000"/>
                <w:sz w:val="24"/>
                <w:szCs w:val="24"/>
                <w:highlight w:val="none"/>
                <w:lang w:val="en-US" w:eastAsia="zh-CN"/>
              </w:rPr>
              <w:t>1.2</w:t>
            </w:r>
            <w:r>
              <w:rPr>
                <w:rFonts w:hint="eastAsia" w:ascii="仿宋_GB2312" w:hAnsi="仿宋_GB2312" w:eastAsia="仿宋_GB2312" w:cs="仿宋_GB2312"/>
                <w:color w:val="000000"/>
                <w:sz w:val="24"/>
                <w:szCs w:val="24"/>
                <w:highlight w:val="none"/>
              </w:rPr>
              <w:t>～</w:t>
            </w:r>
            <w:r>
              <w:rPr>
                <w:rFonts w:hint="eastAsia" w:ascii="仿宋_GB2312" w:hAnsi="仿宋_GB2312" w:eastAsia="仿宋_GB2312" w:cs="仿宋_GB2312"/>
                <w:color w:val="000000"/>
                <w:sz w:val="24"/>
                <w:szCs w:val="24"/>
                <w:highlight w:val="none"/>
                <w:lang w:val="en-US" w:eastAsia="zh-CN"/>
              </w:rPr>
              <w:t>1.6</w:t>
            </w:r>
            <w:r>
              <w:rPr>
                <w:rFonts w:hint="eastAsia" w:ascii="仿宋_GB2312" w:hAnsi="仿宋_GB2312" w:eastAsia="仿宋_GB2312" w:cs="仿宋_GB2312"/>
                <w:color w:val="000000"/>
                <w:sz w:val="24"/>
                <w:szCs w:val="24"/>
                <w:highlight w:val="none"/>
              </w:rPr>
              <w:t xml:space="preserve">分； </w:t>
            </w:r>
          </w:p>
          <w:p>
            <w:pPr>
              <w:spacing w:line="400" w:lineRule="exact"/>
              <w:jc w:val="left"/>
              <w:rPr>
                <w:rFonts w:hint="eastAsia" w:ascii="仿宋" w:hAnsi="仿宋" w:eastAsia="仿宋" w:cs="仿宋"/>
                <w:b/>
                <w:bCs/>
                <w:color w:val="000000"/>
                <w:sz w:val="24"/>
                <w:szCs w:val="24"/>
                <w:highlight w:val="none"/>
                <w:lang w:val="en-US" w:eastAsia="zh-CN"/>
              </w:rPr>
            </w:pPr>
            <w:r>
              <w:rPr>
                <w:rFonts w:hint="eastAsia" w:ascii="仿宋_GB2312" w:hAnsi="仿宋_GB2312" w:eastAsia="仿宋_GB2312" w:cs="仿宋_GB2312"/>
                <w:color w:val="000000"/>
                <w:sz w:val="24"/>
                <w:szCs w:val="24"/>
                <w:highlight w:val="none"/>
              </w:rPr>
              <w:t>3.</w:t>
            </w:r>
            <w:r>
              <w:rPr>
                <w:rFonts w:hint="eastAsia" w:ascii="仿宋_GB2312" w:hAnsi="仿宋_GB2312" w:eastAsia="仿宋_GB2312" w:cs="仿宋_GB2312"/>
                <w:color w:val="000000"/>
                <w:kern w:val="0"/>
                <w:sz w:val="24"/>
                <w:szCs w:val="24"/>
                <w:highlight w:val="none"/>
              </w:rPr>
              <w:t>一般但不被评定为不响应的，</w:t>
            </w:r>
            <w:r>
              <w:rPr>
                <w:rFonts w:hint="eastAsia" w:ascii="仿宋_GB2312" w:hAnsi="仿宋_GB2312" w:eastAsia="仿宋_GB2312" w:cs="仿宋_GB2312"/>
                <w:color w:val="000000"/>
                <w:sz w:val="24"/>
                <w:szCs w:val="24"/>
                <w:highlight w:val="none"/>
              </w:rPr>
              <w:t>起评分</w:t>
            </w:r>
            <w:r>
              <w:rPr>
                <w:rFonts w:hint="eastAsia" w:ascii="仿宋_GB2312" w:hAnsi="仿宋_GB2312" w:eastAsia="仿宋_GB2312" w:cs="仿宋_GB2312"/>
                <w:color w:val="000000"/>
                <w:sz w:val="24"/>
                <w:szCs w:val="24"/>
                <w:highlight w:val="none"/>
                <w:lang w:val="en-US" w:eastAsia="zh-CN"/>
              </w:rPr>
              <w:t>1.2</w:t>
            </w:r>
            <w:r>
              <w:rPr>
                <w:rFonts w:hint="eastAsia" w:ascii="仿宋_GB2312" w:hAnsi="仿宋_GB2312" w:eastAsia="仿宋_GB2312" w:cs="仿宋_GB2312"/>
                <w:color w:val="000000"/>
                <w:sz w:val="24"/>
                <w:szCs w:val="24"/>
                <w:highlight w:val="none"/>
              </w:rPr>
              <w:t>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265" w:hRule="atLeast"/>
        </w:trPr>
        <w:tc>
          <w:tcPr>
            <w:tcW w:w="742" w:type="dxa"/>
            <w:vMerge w:val="continue"/>
            <w:vAlign w:val="top"/>
          </w:tcPr>
          <w:p>
            <w:pPr>
              <w:spacing w:line="400" w:lineRule="exact"/>
              <w:jc w:val="center"/>
              <w:rPr>
                <w:rFonts w:hint="eastAsia" w:ascii="仿宋" w:hAnsi="仿宋" w:eastAsia="仿宋" w:cs="仿宋"/>
                <w:color w:val="auto"/>
                <w:sz w:val="24"/>
                <w:szCs w:val="24"/>
                <w:highlight w:val="none"/>
              </w:rPr>
            </w:pPr>
          </w:p>
        </w:tc>
        <w:tc>
          <w:tcPr>
            <w:tcW w:w="960" w:type="dxa"/>
            <w:vMerge w:val="continue"/>
            <w:vAlign w:val="top"/>
          </w:tcPr>
          <w:p>
            <w:pPr>
              <w:spacing w:line="400" w:lineRule="exact"/>
              <w:jc w:val="center"/>
              <w:rPr>
                <w:rFonts w:hint="eastAsia" w:ascii="仿宋" w:hAnsi="仿宋" w:eastAsia="仿宋" w:cs="仿宋"/>
                <w:color w:val="auto"/>
                <w:sz w:val="24"/>
                <w:szCs w:val="24"/>
                <w:highlight w:val="none"/>
              </w:rPr>
            </w:pPr>
          </w:p>
        </w:tc>
        <w:tc>
          <w:tcPr>
            <w:tcW w:w="965" w:type="dxa"/>
            <w:vMerge w:val="continue"/>
            <w:vAlign w:val="top"/>
          </w:tcPr>
          <w:p>
            <w:pPr>
              <w:spacing w:line="400" w:lineRule="exact"/>
              <w:jc w:val="center"/>
              <w:rPr>
                <w:rFonts w:hint="eastAsia" w:ascii="仿宋" w:hAnsi="仿宋" w:eastAsia="仿宋" w:cs="仿宋"/>
                <w:color w:val="auto"/>
                <w:sz w:val="24"/>
                <w:szCs w:val="24"/>
                <w:highlight w:val="none"/>
              </w:rPr>
            </w:pPr>
          </w:p>
        </w:tc>
        <w:tc>
          <w:tcPr>
            <w:tcW w:w="1265" w:type="dxa"/>
            <w:vAlign w:val="center"/>
          </w:tcPr>
          <w:p>
            <w:pPr>
              <w:spacing w:line="400" w:lineRule="exact"/>
              <w:ind w:left="0" w:leftChars="0" w:right="0" w:rightChars="0" w:firstLine="0" w:firstLineChars="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质量、安全保证体系及保证措施</w:t>
            </w:r>
          </w:p>
          <w:p>
            <w:pPr>
              <w:spacing w:line="400" w:lineRule="exact"/>
              <w:ind w:left="0" w:leftChars="0" w:right="0" w:rightChars="0" w:firstLine="0" w:firstLineChars="0"/>
              <w:jc w:val="center"/>
              <w:rPr>
                <w:rFonts w:hint="eastAsia" w:ascii="仿宋" w:hAnsi="仿宋" w:eastAsia="仿宋" w:cs="仿宋"/>
                <w:sz w:val="24"/>
                <w:szCs w:val="24"/>
                <w:highlight w:val="none"/>
              </w:rPr>
            </w:pPr>
          </w:p>
          <w:p>
            <w:pPr>
              <w:spacing w:line="400" w:lineRule="exact"/>
              <w:ind w:left="0" w:leftChars="0" w:right="0" w:rightChars="0" w:firstLine="0" w:firstLineChars="0"/>
              <w:jc w:val="center"/>
              <w:rPr>
                <w:rFonts w:hint="eastAsia" w:ascii="仿宋" w:hAnsi="仿宋" w:eastAsia="仿宋" w:cs="仿宋"/>
                <w:sz w:val="24"/>
                <w:szCs w:val="24"/>
                <w:highlight w:val="none"/>
              </w:rPr>
            </w:pPr>
          </w:p>
          <w:p>
            <w:pPr>
              <w:spacing w:line="400" w:lineRule="exact"/>
              <w:ind w:left="0" w:leftChars="0" w:right="0" w:rightChars="0" w:firstLine="0" w:firstLineChars="0"/>
              <w:jc w:val="center"/>
              <w:rPr>
                <w:rFonts w:hint="eastAsia" w:ascii="仿宋" w:hAnsi="仿宋" w:eastAsia="仿宋" w:cs="仿宋"/>
                <w:sz w:val="24"/>
                <w:szCs w:val="24"/>
                <w:highlight w:val="none"/>
              </w:rPr>
            </w:pPr>
          </w:p>
          <w:p>
            <w:pPr>
              <w:spacing w:line="400" w:lineRule="exact"/>
              <w:ind w:left="0" w:leftChars="0" w:right="0" w:rightChars="0" w:firstLine="0" w:firstLineChars="0"/>
              <w:jc w:val="center"/>
              <w:rPr>
                <w:rFonts w:hint="eastAsia" w:ascii="仿宋" w:hAnsi="仿宋" w:eastAsia="仿宋" w:cs="仿宋"/>
                <w:sz w:val="24"/>
                <w:szCs w:val="24"/>
                <w:highlight w:val="none"/>
              </w:rPr>
            </w:pPr>
          </w:p>
          <w:p>
            <w:pPr>
              <w:spacing w:line="400" w:lineRule="exact"/>
              <w:ind w:left="0" w:leftChars="0" w:right="0" w:rightChars="0" w:firstLine="0" w:firstLineChars="0"/>
              <w:jc w:val="center"/>
              <w:rPr>
                <w:rFonts w:hint="eastAsia" w:ascii="仿宋" w:hAnsi="仿宋" w:eastAsia="仿宋" w:cs="仿宋"/>
                <w:sz w:val="24"/>
                <w:szCs w:val="24"/>
                <w:highlight w:val="none"/>
              </w:rPr>
            </w:pPr>
          </w:p>
          <w:p>
            <w:pPr>
              <w:spacing w:line="400" w:lineRule="exact"/>
              <w:ind w:left="0" w:leftChars="0" w:right="0" w:rightChars="0" w:firstLine="0" w:firstLineChars="0"/>
              <w:jc w:val="center"/>
              <w:rPr>
                <w:rFonts w:hint="eastAsia" w:ascii="仿宋" w:hAnsi="仿宋" w:eastAsia="仿宋" w:cs="仿宋"/>
                <w:sz w:val="24"/>
                <w:szCs w:val="24"/>
                <w:highlight w:val="none"/>
              </w:rPr>
            </w:pPr>
          </w:p>
          <w:p>
            <w:pPr>
              <w:spacing w:line="400" w:lineRule="exact"/>
              <w:ind w:left="0" w:leftChars="0" w:right="0" w:rightChars="0" w:firstLine="0" w:firstLineChars="0"/>
              <w:jc w:val="center"/>
              <w:rPr>
                <w:rFonts w:hint="eastAsia" w:ascii="仿宋" w:hAnsi="仿宋" w:eastAsia="仿宋" w:cs="仿宋"/>
                <w:sz w:val="24"/>
                <w:szCs w:val="24"/>
                <w:highlight w:val="none"/>
              </w:rPr>
            </w:pPr>
          </w:p>
          <w:p>
            <w:pPr>
              <w:spacing w:line="400" w:lineRule="exact"/>
              <w:ind w:left="0" w:leftChars="0" w:right="0" w:rightChars="0" w:firstLine="0" w:firstLineChars="0"/>
              <w:jc w:val="both"/>
              <w:rPr>
                <w:rFonts w:hint="eastAsia" w:ascii="仿宋" w:hAnsi="仿宋" w:eastAsia="仿宋" w:cs="仿宋"/>
                <w:sz w:val="24"/>
                <w:szCs w:val="24"/>
                <w:highlight w:val="none"/>
              </w:rPr>
            </w:pPr>
          </w:p>
        </w:tc>
        <w:tc>
          <w:tcPr>
            <w:tcW w:w="660"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分</w:t>
            </w:r>
          </w:p>
        </w:tc>
        <w:tc>
          <w:tcPr>
            <w:tcW w:w="5463" w:type="dxa"/>
            <w:vAlign w:val="center"/>
          </w:tcPr>
          <w:p>
            <w:pPr>
              <w:spacing w:line="400" w:lineRule="exact"/>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1.对本项目质量及安全控制有透彻的认识，对施工过程中可能发生的各种质量和安全问题有深刻的认识和合理的预见，并有相应的应对措施，应对措施应科学、充分，能有效处理各种突发问题的，得</w:t>
            </w:r>
            <w:r>
              <w:rPr>
                <w:rFonts w:hint="eastAsia" w:ascii="仿宋" w:hAnsi="仿宋" w:eastAsia="仿宋" w:cs="仿宋"/>
                <w:sz w:val="24"/>
                <w:szCs w:val="24"/>
                <w:highlight w:val="none"/>
                <w:lang w:val="en-US" w:eastAsia="zh-CN"/>
              </w:rPr>
              <w:t>1.6</w:t>
            </w:r>
            <w:r>
              <w:rPr>
                <w:rFonts w:hint="eastAsia" w:ascii="仿宋_GB2312" w:hAnsi="仿宋_GB2312" w:eastAsia="仿宋_GB2312" w:cs="仿宋_GB2312"/>
                <w:sz w:val="24"/>
                <w:szCs w:val="24"/>
                <w:highlight w:val="none"/>
              </w:rPr>
              <w:t>～</w:t>
            </w: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 xml:space="preserve">分； </w:t>
            </w:r>
          </w:p>
          <w:p>
            <w:pPr>
              <w:spacing w:line="400" w:lineRule="exact"/>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2.对本项目质量及安全控制有一定的认识，基本能合理的预见施工过程中可能发生的各种质量和安全问题</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并有相应的应对措施，应对措施较为科学</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 xml:space="preserve">充分，基本能有效处理各种质量和安全问题的，得 </w:t>
            </w:r>
            <w:r>
              <w:rPr>
                <w:rFonts w:hint="eastAsia" w:ascii="仿宋" w:hAnsi="仿宋" w:eastAsia="仿宋" w:cs="仿宋"/>
                <w:sz w:val="24"/>
                <w:szCs w:val="24"/>
                <w:highlight w:val="none"/>
                <w:lang w:val="en-US" w:eastAsia="zh-CN"/>
              </w:rPr>
              <w:t>1.2</w:t>
            </w:r>
            <w:r>
              <w:rPr>
                <w:rFonts w:hint="eastAsia" w:ascii="仿宋_GB2312" w:hAnsi="仿宋_GB2312" w:eastAsia="仿宋_GB2312" w:cs="仿宋_GB2312"/>
                <w:sz w:val="24"/>
                <w:szCs w:val="24"/>
                <w:highlight w:val="none"/>
              </w:rPr>
              <w:t>～</w:t>
            </w:r>
            <w:r>
              <w:rPr>
                <w:rFonts w:hint="eastAsia" w:ascii="仿宋" w:hAnsi="仿宋" w:eastAsia="仿宋" w:cs="仿宋"/>
                <w:sz w:val="24"/>
                <w:szCs w:val="24"/>
                <w:highlight w:val="none"/>
                <w:lang w:val="en-US" w:eastAsia="zh-CN"/>
              </w:rPr>
              <w:t>1.6</w:t>
            </w:r>
            <w:r>
              <w:rPr>
                <w:rFonts w:hint="eastAsia" w:ascii="仿宋" w:hAnsi="仿宋" w:eastAsia="仿宋" w:cs="仿宋"/>
                <w:sz w:val="24"/>
                <w:szCs w:val="24"/>
                <w:highlight w:val="none"/>
              </w:rPr>
              <w:t xml:space="preserve">分； </w:t>
            </w:r>
          </w:p>
          <w:p>
            <w:pPr>
              <w:spacing w:line="400" w:lineRule="exact"/>
              <w:jc w:val="left"/>
              <w:rPr>
                <w:rFonts w:hint="eastAsia" w:ascii="仿宋" w:hAnsi="仿宋" w:eastAsia="仿宋" w:cs="仿宋"/>
                <w:color w:val="auto"/>
                <w:sz w:val="24"/>
                <w:szCs w:val="24"/>
                <w:highlight w:val="none"/>
              </w:rPr>
            </w:pPr>
            <w:r>
              <w:rPr>
                <w:rFonts w:hint="eastAsia" w:ascii="仿宋" w:hAnsi="仿宋" w:eastAsia="仿宋" w:cs="仿宋"/>
                <w:sz w:val="24"/>
                <w:szCs w:val="24"/>
                <w:highlight w:val="none"/>
              </w:rPr>
              <w:t>3.</w:t>
            </w:r>
            <w:r>
              <w:rPr>
                <w:rFonts w:hint="eastAsia" w:ascii="仿宋" w:hAnsi="仿宋" w:eastAsia="仿宋" w:cs="仿宋"/>
                <w:kern w:val="0"/>
                <w:sz w:val="24"/>
                <w:szCs w:val="24"/>
                <w:highlight w:val="none"/>
              </w:rPr>
              <w:t>一般但不被评定为不响应的，</w:t>
            </w:r>
            <w:r>
              <w:rPr>
                <w:rFonts w:hint="eastAsia" w:ascii="仿宋" w:hAnsi="仿宋" w:eastAsia="仿宋" w:cs="仿宋"/>
                <w:sz w:val="24"/>
                <w:szCs w:val="24"/>
                <w:highlight w:val="none"/>
              </w:rPr>
              <w:t>起评分</w:t>
            </w:r>
            <w:r>
              <w:rPr>
                <w:rFonts w:hint="eastAsia" w:ascii="仿宋" w:hAnsi="仿宋" w:eastAsia="仿宋" w:cs="仿宋"/>
                <w:sz w:val="24"/>
                <w:szCs w:val="24"/>
                <w:highlight w:val="none"/>
                <w:lang w:val="en-US" w:eastAsia="zh-CN"/>
              </w:rPr>
              <w:t>1.2</w:t>
            </w:r>
            <w:r>
              <w:rPr>
                <w:rFonts w:hint="eastAsia" w:ascii="仿宋" w:hAnsi="仿宋" w:eastAsia="仿宋" w:cs="仿宋"/>
                <w:sz w:val="24"/>
                <w:szCs w:val="24"/>
                <w:highlight w:val="none"/>
              </w:rPr>
              <w:t>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3" w:hRule="atLeast"/>
        </w:trPr>
        <w:tc>
          <w:tcPr>
            <w:tcW w:w="742" w:type="dxa"/>
            <w:vMerge w:val="continue"/>
            <w:vAlign w:val="top"/>
          </w:tcPr>
          <w:p>
            <w:pPr>
              <w:spacing w:line="400" w:lineRule="exact"/>
              <w:jc w:val="center"/>
              <w:rPr>
                <w:rFonts w:hint="eastAsia" w:ascii="仿宋" w:hAnsi="仿宋" w:eastAsia="仿宋" w:cs="仿宋"/>
                <w:color w:val="auto"/>
                <w:sz w:val="24"/>
                <w:szCs w:val="24"/>
                <w:highlight w:val="none"/>
              </w:rPr>
            </w:pPr>
          </w:p>
        </w:tc>
        <w:tc>
          <w:tcPr>
            <w:tcW w:w="960" w:type="dxa"/>
            <w:vMerge w:val="continue"/>
            <w:vAlign w:val="top"/>
          </w:tcPr>
          <w:p>
            <w:pPr>
              <w:spacing w:line="400" w:lineRule="exact"/>
              <w:jc w:val="center"/>
              <w:rPr>
                <w:rFonts w:hint="eastAsia" w:ascii="仿宋" w:hAnsi="仿宋" w:eastAsia="仿宋" w:cs="仿宋"/>
                <w:color w:val="auto"/>
                <w:sz w:val="24"/>
                <w:szCs w:val="24"/>
                <w:highlight w:val="none"/>
              </w:rPr>
            </w:pPr>
          </w:p>
        </w:tc>
        <w:tc>
          <w:tcPr>
            <w:tcW w:w="965" w:type="dxa"/>
            <w:vMerge w:val="continue"/>
            <w:vAlign w:val="top"/>
          </w:tcPr>
          <w:p>
            <w:pPr>
              <w:spacing w:line="400" w:lineRule="exact"/>
              <w:jc w:val="center"/>
              <w:rPr>
                <w:rFonts w:hint="eastAsia" w:ascii="仿宋" w:hAnsi="仿宋" w:eastAsia="仿宋" w:cs="仿宋"/>
                <w:color w:val="auto"/>
                <w:sz w:val="24"/>
                <w:szCs w:val="24"/>
                <w:highlight w:val="none"/>
              </w:rPr>
            </w:pPr>
          </w:p>
        </w:tc>
        <w:tc>
          <w:tcPr>
            <w:tcW w:w="1265" w:type="dxa"/>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环境保护、文明施工</w:t>
            </w:r>
          </w:p>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保证体系</w:t>
            </w:r>
          </w:p>
          <w:p>
            <w:pPr>
              <w:spacing w:line="400" w:lineRule="exact"/>
              <w:rPr>
                <w:rFonts w:hint="eastAsia" w:ascii="仿宋" w:hAnsi="仿宋" w:eastAsia="仿宋" w:cs="仿宋"/>
                <w:color w:val="auto"/>
                <w:sz w:val="24"/>
                <w:szCs w:val="24"/>
                <w:highlight w:val="none"/>
              </w:rPr>
            </w:pPr>
            <w:r>
              <w:rPr>
                <w:rFonts w:hint="eastAsia" w:ascii="仿宋" w:hAnsi="仿宋" w:eastAsia="仿宋" w:cs="仿宋"/>
                <w:sz w:val="24"/>
                <w:szCs w:val="24"/>
                <w:highlight w:val="none"/>
              </w:rPr>
              <w:t>及措施</w:t>
            </w:r>
          </w:p>
        </w:tc>
        <w:tc>
          <w:tcPr>
            <w:tcW w:w="660" w:type="dxa"/>
            <w:vAlign w:val="center"/>
          </w:tcPr>
          <w:p>
            <w:pPr>
              <w:spacing w:line="4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分</w:t>
            </w:r>
          </w:p>
        </w:tc>
        <w:tc>
          <w:tcPr>
            <w:tcW w:w="5463" w:type="dxa"/>
            <w:vAlign w:val="center"/>
          </w:tcPr>
          <w:p>
            <w:pPr>
              <w:spacing w:line="400" w:lineRule="exact"/>
              <w:jc w:val="left"/>
              <w:rPr>
                <w:rFonts w:hint="eastAsia" w:ascii="仿宋" w:hAnsi="仿宋" w:eastAsia="仿宋" w:cs="仿宋"/>
                <w:kern w:val="0"/>
                <w:sz w:val="24"/>
                <w:szCs w:val="24"/>
                <w:highlight w:val="none"/>
              </w:rPr>
            </w:pPr>
            <w:r>
              <w:rPr>
                <w:rFonts w:hint="eastAsia" w:ascii="仿宋" w:hAnsi="仿宋" w:eastAsia="仿宋" w:cs="仿宋"/>
                <w:sz w:val="24"/>
                <w:szCs w:val="24"/>
                <w:highlight w:val="none"/>
              </w:rPr>
              <w:t>1.</w:t>
            </w:r>
            <w:r>
              <w:rPr>
                <w:rFonts w:hint="eastAsia" w:ascii="仿宋" w:hAnsi="仿宋" w:eastAsia="仿宋" w:cs="仿宋"/>
                <w:kern w:val="0"/>
                <w:sz w:val="24"/>
                <w:szCs w:val="24"/>
                <w:highlight w:val="none"/>
              </w:rPr>
              <w:t>对本项目的环保及文明施工等工作有独到的见解，能制定科学的措施，施工做到符合环保的要求，对文明施工有相应的措施，能创造良好的施工环境的，</w:t>
            </w:r>
            <w:r>
              <w:rPr>
                <w:rFonts w:hint="eastAsia" w:ascii="仿宋" w:hAnsi="仿宋" w:eastAsia="仿宋" w:cs="仿宋"/>
                <w:sz w:val="24"/>
                <w:szCs w:val="24"/>
                <w:highlight w:val="none"/>
              </w:rPr>
              <w:t xml:space="preserve">得 0.8～1分； </w:t>
            </w:r>
          </w:p>
          <w:p>
            <w:pPr>
              <w:spacing w:line="400" w:lineRule="exact"/>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2.对工程环保及文明施工等工作制定有相关的措施</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 xml:space="preserve">基本能满足本项目环保及文明施工的要求的，得0.6～0.8分； </w:t>
            </w:r>
          </w:p>
          <w:p>
            <w:pPr>
              <w:spacing w:line="400" w:lineRule="exact"/>
              <w:jc w:val="left"/>
              <w:rPr>
                <w:rFonts w:hint="eastAsia" w:ascii="仿宋" w:hAnsi="仿宋" w:eastAsia="仿宋" w:cs="仿宋"/>
                <w:color w:val="auto"/>
                <w:sz w:val="24"/>
                <w:szCs w:val="24"/>
                <w:highlight w:val="none"/>
              </w:rPr>
            </w:pPr>
            <w:r>
              <w:rPr>
                <w:rFonts w:hint="eastAsia" w:ascii="仿宋" w:hAnsi="仿宋" w:eastAsia="仿宋" w:cs="仿宋"/>
                <w:sz w:val="24"/>
                <w:szCs w:val="24"/>
                <w:highlight w:val="none"/>
              </w:rPr>
              <w:t>3.</w:t>
            </w:r>
            <w:r>
              <w:rPr>
                <w:rFonts w:hint="eastAsia" w:ascii="仿宋" w:hAnsi="仿宋" w:eastAsia="仿宋" w:cs="仿宋"/>
                <w:kern w:val="0"/>
                <w:sz w:val="24"/>
                <w:szCs w:val="24"/>
                <w:highlight w:val="none"/>
              </w:rPr>
              <w:t>一般但不被评定为不响应的，</w:t>
            </w:r>
            <w:r>
              <w:rPr>
                <w:rFonts w:hint="eastAsia" w:ascii="仿宋" w:hAnsi="仿宋" w:eastAsia="仿宋" w:cs="仿宋"/>
                <w:sz w:val="24"/>
                <w:szCs w:val="24"/>
                <w:highlight w:val="none"/>
              </w:rPr>
              <w:t>起评分0.6分。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88" w:hRule="atLeast"/>
        </w:trPr>
        <w:tc>
          <w:tcPr>
            <w:tcW w:w="742" w:type="dxa"/>
            <w:vAlign w:val="center"/>
          </w:tcPr>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2.2.4（</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w:t>
            </w:r>
          </w:p>
        </w:tc>
        <w:tc>
          <w:tcPr>
            <w:tcW w:w="960" w:type="dxa"/>
            <w:vAlign w:val="center"/>
          </w:tcPr>
          <w:p>
            <w:pP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评标价</w:t>
            </w:r>
          </w:p>
        </w:tc>
        <w:tc>
          <w:tcPr>
            <w:tcW w:w="965" w:type="dxa"/>
            <w:vAlign w:val="center"/>
          </w:tcPr>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80</w:t>
            </w:r>
            <w:r>
              <w:rPr>
                <w:rFonts w:hint="eastAsia" w:ascii="仿宋" w:hAnsi="仿宋" w:eastAsia="仿宋" w:cs="仿宋"/>
                <w:color w:val="auto"/>
                <w:sz w:val="24"/>
                <w:szCs w:val="24"/>
                <w:highlight w:val="none"/>
              </w:rPr>
              <w:t>分</w:t>
            </w:r>
          </w:p>
        </w:tc>
        <w:tc>
          <w:tcPr>
            <w:tcW w:w="1265" w:type="dxa"/>
            <w:vAlign w:val="center"/>
          </w:tcPr>
          <w:p>
            <w:pPr>
              <w:rPr>
                <w:rFonts w:hint="eastAsia" w:ascii="仿宋" w:hAnsi="仿宋" w:eastAsia="仿宋" w:cs="仿宋"/>
                <w:color w:val="auto"/>
                <w:sz w:val="24"/>
                <w:szCs w:val="24"/>
                <w:highlight w:val="none"/>
              </w:rPr>
            </w:pPr>
          </w:p>
        </w:tc>
        <w:tc>
          <w:tcPr>
            <w:tcW w:w="660" w:type="dxa"/>
            <w:vAlign w:val="center"/>
          </w:tcPr>
          <w:p>
            <w:pPr>
              <w:rPr>
                <w:rFonts w:hint="eastAsia" w:ascii="仿宋" w:hAnsi="仿宋" w:eastAsia="仿宋" w:cs="仿宋"/>
                <w:color w:val="auto"/>
                <w:sz w:val="24"/>
                <w:szCs w:val="24"/>
                <w:highlight w:val="none"/>
              </w:rPr>
            </w:pPr>
          </w:p>
        </w:tc>
        <w:tc>
          <w:tcPr>
            <w:tcW w:w="5463" w:type="dxa"/>
            <w:vAlign w:val="center"/>
          </w:tcPr>
          <w:p>
            <w:pPr>
              <w:snapToGrid w:val="0"/>
              <w:spacing w:line="4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标价分值的计算</w:t>
            </w:r>
            <w:r>
              <w:rPr>
                <w:rFonts w:hint="eastAsia" w:ascii="仿宋" w:hAnsi="仿宋" w:eastAsia="仿宋" w:cs="仿宋"/>
                <w:color w:val="auto"/>
                <w:sz w:val="24"/>
                <w:szCs w:val="24"/>
                <w:highlight w:val="none"/>
                <w:lang w:eastAsia="zh-CN"/>
              </w:rPr>
              <w:t>：</w:t>
            </w:r>
          </w:p>
          <w:p>
            <w:pPr>
              <w:snapToGrid w:val="0"/>
              <w:spacing w:line="4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当投标人的投标价等于D时得满分，每高于D一个百分点扣3分，每低于D一个百分点扣1分，中间值按比例内插。用公式表示如下：</w:t>
            </w:r>
          </w:p>
          <w:p>
            <w:pPr>
              <w:snapToGrid w:val="0"/>
              <w:spacing w:line="360" w:lineRule="atLeast"/>
              <w:jc w:val="center"/>
              <w:rPr>
                <w:rFonts w:hint="eastAsia" w:ascii="仿宋" w:hAnsi="仿宋" w:eastAsia="仿宋" w:cs="仿宋"/>
                <w:color w:val="auto"/>
                <w:sz w:val="24"/>
                <w:szCs w:val="21"/>
                <w:highlight w:val="none"/>
              </w:rPr>
            </w:pPr>
            <w:r>
              <w:rPr>
                <w:rFonts w:hint="eastAsia" w:ascii="仿宋" w:hAnsi="仿宋" w:eastAsia="仿宋" w:cs="仿宋"/>
                <w:color w:val="auto"/>
                <w:position w:val="-24"/>
                <w:sz w:val="24"/>
                <w:szCs w:val="21"/>
                <w:highlight w:val="none"/>
              </w:rPr>
              <w:object>
                <v:shape id="_x0000_i1025" o:spt="75" type="#_x0000_t75" style="height:38.85pt;width:156.55pt;" o:ole="t" filled="f" o:preferrelative="t" stroked="f" coordsize="21600,21600">
                  <v:path/>
                  <v:fill on="f" focussize="0,0"/>
                  <v:stroke on="f"/>
                  <v:imagedata r:id="rId5" o:title=""/>
                  <o:lock v:ext="edit" grouping="f" rotation="f" text="f" aspectratio="t"/>
                  <w10:wrap type="none"/>
                  <w10:anchorlock/>
                </v:shape>
                <o:OLEObject Type="Embed" ProgID="Equation.3" ShapeID="_x0000_i1025" DrawAspect="Content" ObjectID="_1468075725" r:id="rId4">
                  <o:LockedField>false</o:LockedField>
                </o:OLEObject>
              </w:object>
            </w:r>
          </w:p>
          <w:p>
            <w:pPr>
              <w:snapToGrid w:val="0"/>
              <w:spacing w:line="4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式中：</w:t>
            </w:r>
            <w:r>
              <w:rPr>
                <w:rFonts w:hint="eastAsia" w:ascii="仿宋" w:hAnsi="仿宋" w:eastAsia="仿宋" w:cs="仿宋"/>
                <w:color w:val="auto"/>
                <w:sz w:val="24"/>
                <w:szCs w:val="24"/>
                <w:highlight w:val="none"/>
              </w:rPr>
              <w:object>
                <v:shape id="_x0000_i1026" o:spt="75" type="#_x0000_t75" style="height:18pt;width:13pt;" o:ole="t" filled="f" o:preferrelative="t" stroked="f" coordsize="21600,21600">
                  <v:path/>
                  <v:fill on="f" focussize="0,0"/>
                  <v:stroke on="f"/>
                  <v:imagedata r:id="rId7" o:title=""/>
                  <o:lock v:ext="edit" grouping="f" rotation="f" text="f" aspectratio="t"/>
                  <w10:wrap type="none"/>
                  <w10:anchorlock/>
                </v:shape>
                <o:OLEObject Type="Embed" ProgID="Equation.3" ShapeID="_x0000_i1026" DrawAspect="Content" ObjectID="_1468075726" r:id="rId6">
                  <o:LockedField>false</o:LockedField>
                </o:OLEObject>
              </w:object>
            </w:r>
            <w:r>
              <w:rPr>
                <w:rFonts w:hint="eastAsia" w:ascii="仿宋" w:hAnsi="仿宋" w:eastAsia="仿宋" w:cs="仿宋"/>
                <w:color w:val="auto"/>
                <w:sz w:val="24"/>
                <w:szCs w:val="24"/>
                <w:highlight w:val="none"/>
              </w:rPr>
              <w:t>—投标人投标价得分（</w:t>
            </w:r>
            <w:r>
              <w:rPr>
                <w:rFonts w:hint="eastAsia" w:ascii="仿宋" w:hAnsi="仿宋" w:eastAsia="仿宋" w:cs="仿宋"/>
                <w:b/>
                <w:bCs/>
                <w:color w:val="auto"/>
                <w:sz w:val="24"/>
                <w:szCs w:val="24"/>
                <w:highlight w:val="none"/>
              </w:rPr>
              <w:t>精确到小数点后</w:t>
            </w:r>
            <w:r>
              <w:rPr>
                <w:rFonts w:hint="eastAsia" w:ascii="仿宋" w:hAnsi="仿宋" w:eastAsia="仿宋" w:cs="仿宋"/>
                <w:b/>
                <w:bCs/>
                <w:color w:val="auto"/>
                <w:sz w:val="24"/>
                <w:szCs w:val="24"/>
                <w:highlight w:val="none"/>
                <w:lang w:eastAsia="zh-CN"/>
              </w:rPr>
              <w:t>四</w:t>
            </w:r>
            <w:r>
              <w:rPr>
                <w:rFonts w:hint="eastAsia" w:ascii="仿宋" w:hAnsi="仿宋" w:eastAsia="仿宋" w:cs="仿宋"/>
                <w:b/>
                <w:bCs/>
                <w:color w:val="auto"/>
                <w:sz w:val="24"/>
                <w:szCs w:val="24"/>
                <w:highlight w:val="none"/>
              </w:rPr>
              <w:t>位）</w:t>
            </w:r>
            <w:r>
              <w:rPr>
                <w:rFonts w:hint="eastAsia" w:ascii="仿宋" w:hAnsi="仿宋" w:eastAsia="仿宋" w:cs="仿宋"/>
                <w:color w:val="auto"/>
                <w:sz w:val="24"/>
                <w:szCs w:val="24"/>
                <w:highlight w:val="none"/>
              </w:rPr>
              <w:t>；</w:t>
            </w:r>
          </w:p>
          <w:p>
            <w:pPr>
              <w:tabs>
                <w:tab w:val="left" w:pos="1572"/>
              </w:tabs>
              <w:snapToGrid w:val="0"/>
              <w:spacing w:line="400" w:lineRule="exact"/>
              <w:ind w:firstLine="600" w:firstLineChars="250"/>
              <w:rPr>
                <w:rFonts w:hint="eastAsia" w:ascii="仿宋" w:hAnsi="仿宋" w:eastAsia="仿宋" w:cs="仿宋"/>
                <w:color w:val="auto"/>
                <w:sz w:val="24"/>
                <w:szCs w:val="24"/>
                <w:highlight w:val="none"/>
                <w:lang w:val="en-US"/>
              </w:rPr>
            </w:pPr>
            <w:r>
              <w:rPr>
                <w:rFonts w:hint="eastAsia" w:ascii="仿宋" w:hAnsi="仿宋" w:eastAsia="仿宋" w:cs="仿宋"/>
                <w:color w:val="auto"/>
                <w:sz w:val="24"/>
                <w:szCs w:val="24"/>
                <w:highlight w:val="none"/>
              </w:rPr>
              <w:object>
                <v:shape id="_x0000_i1027" o:spt="75" type="#_x0000_t75" style="height:13pt;width:13pt;" o:ole="t" filled="f" stroked="f" coordsize="21600,21600">
                  <v:path/>
                  <v:fill on="f" focussize="0,0"/>
                  <v:stroke on="f"/>
                  <v:imagedata r:id="rId9" o:title=""/>
                  <o:lock v:ext="edit" grouping="f" rotation="f" text="f" aspectratio="t"/>
                  <w10:wrap type="none"/>
                  <w10:anchorlock/>
                </v:shape>
                <o:OLEObject Type="Embed" ProgID="Equation.3" ShapeID="_x0000_i1027" DrawAspect="Content" ObjectID="_1468075727" r:id="rId8">
                  <o:LockedField>false</o:LockedField>
                </o:OLEObject>
              </w:object>
            </w:r>
            <w:r>
              <w:rPr>
                <w:rFonts w:hint="eastAsia" w:ascii="仿宋" w:hAnsi="仿宋" w:eastAsia="仿宋" w:cs="仿宋"/>
                <w:color w:val="auto"/>
                <w:sz w:val="24"/>
                <w:szCs w:val="24"/>
                <w:highlight w:val="none"/>
              </w:rPr>
              <w:t>—投标价所占的百分比权重分值，F=</w:t>
            </w:r>
            <w:r>
              <w:rPr>
                <w:rFonts w:hint="eastAsia" w:ascii="仿宋" w:hAnsi="仿宋" w:eastAsia="仿宋" w:cs="仿宋"/>
                <w:color w:val="auto"/>
                <w:sz w:val="24"/>
                <w:szCs w:val="24"/>
                <w:highlight w:val="none"/>
                <w:lang w:val="en-US" w:eastAsia="zh-CN"/>
              </w:rPr>
              <w:t>80</w:t>
            </w:r>
          </w:p>
          <w:p>
            <w:pPr>
              <w:tabs>
                <w:tab w:val="left" w:pos="1572"/>
              </w:tabs>
              <w:snapToGrid w:val="0"/>
              <w:spacing w:line="4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object>
                <v:shape id="_x0000_i1028" o:spt="75" type="#_x0000_t75" style="height:18pt;width:15pt;" o:ole="t" filled="f" o:preferrelative="t" stroked="f" coordsize="21600,21600">
                  <v:path/>
                  <v:fill on="f" focussize="0,0"/>
                  <v:stroke on="f"/>
                  <v:imagedata r:id="rId11" o:title=""/>
                  <o:lock v:ext="edit" grouping="f" rotation="f" text="f" aspectratio="t"/>
                  <w10:wrap type="none"/>
                  <w10:anchorlock/>
                </v:shape>
                <o:OLEObject Type="Embed" ProgID="Equation.3" ShapeID="_x0000_i1028" DrawAspect="Content" ObjectID="_1468075728" r:id="rId10">
                  <o:LockedField>false</o:LockedField>
                </o:OLEObject>
              </w:object>
            </w:r>
            <w:r>
              <w:rPr>
                <w:rFonts w:hint="eastAsia" w:ascii="仿宋" w:hAnsi="仿宋" w:eastAsia="仿宋" w:cs="仿宋"/>
                <w:color w:val="auto"/>
                <w:sz w:val="24"/>
                <w:szCs w:val="24"/>
                <w:highlight w:val="none"/>
              </w:rPr>
              <w:t>—投标人的投标价；</w:t>
            </w:r>
          </w:p>
          <w:p>
            <w:pPr>
              <w:tabs>
                <w:tab w:val="left" w:pos="1572"/>
              </w:tabs>
              <w:snapToGrid w:val="0"/>
              <w:spacing w:line="4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D—评标基准价。</w:t>
            </w:r>
          </w:p>
          <w:p>
            <w:pPr>
              <w:spacing w:line="400" w:lineRule="exact"/>
              <w:ind w:firstLine="240" w:firstLineChars="1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若</w:t>
            </w:r>
            <w:r>
              <w:rPr>
                <w:rFonts w:hint="eastAsia" w:ascii="仿宋" w:hAnsi="仿宋" w:eastAsia="仿宋" w:cs="仿宋"/>
                <w:color w:val="auto"/>
                <w:sz w:val="24"/>
                <w:szCs w:val="24"/>
                <w:highlight w:val="none"/>
              </w:rPr>
              <w:object>
                <v:shape id="_x0000_i1029" o:spt="75" type="#_x0000_t75" style="height:18pt;width:15pt;" o:ole="t" filled="f" o:preferrelative="t" stroked="f" coordsize="21600,21600">
                  <v:path/>
                  <v:fill on="f" focussize="0,0"/>
                  <v:stroke on="f"/>
                  <v:imagedata r:id="rId11" o:title=""/>
                  <o:lock v:ext="edit" grouping="f" rotation="f" text="f" aspectratio="t"/>
                  <w10:wrap type="none"/>
                  <w10:anchorlock/>
                </v:shape>
                <o:OLEObject Type="Embed" ProgID="Equation.3" ShapeID="_x0000_i1029" DrawAspect="Content" ObjectID="_1468075729" r:id="rId12">
                  <o:LockedField>false</o:LockedField>
                </o:OLEObject>
              </w:objec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rPr>
              <w:t>D,则</w:t>
            </w:r>
            <w:r>
              <w:rPr>
                <w:rFonts w:hint="eastAsia" w:ascii="仿宋" w:hAnsi="仿宋" w:eastAsia="仿宋" w:cs="仿宋"/>
                <w:color w:val="auto"/>
                <w:sz w:val="24"/>
                <w:szCs w:val="24"/>
                <w:highlight w:val="none"/>
              </w:rPr>
              <w:object>
                <v:shape id="_x0000_i1030" o:spt="75" type="#_x0000_t75" style="height:13pt;width:12pt;" o:ole="t" filled="f" stroked="f" coordsize="21600,21600">
                  <v:path/>
                  <v:fill on="f" focussize="0,0"/>
                  <v:stroke on="f"/>
                  <v:imagedata r:id="rId14" o:title=""/>
                  <o:lock v:ext="edit" grouping="f" rotation="f" text="f" aspectratio="t"/>
                  <w10:wrap type="none"/>
                  <w10:anchorlock/>
                </v:shape>
                <o:OLEObject Type="Embed" ProgID="Equation.3" ShapeID="_x0000_i1030" DrawAspect="Content" ObjectID="_1468075730" r:id="rId13">
                  <o:LockedField>false</o:LockedField>
                </o:OLEObject>
              </w:object>
            </w:r>
            <w:r>
              <w:rPr>
                <w:rFonts w:hint="eastAsia" w:ascii="仿宋" w:hAnsi="仿宋" w:eastAsia="仿宋" w:cs="仿宋"/>
                <w:color w:val="auto"/>
                <w:sz w:val="24"/>
                <w:szCs w:val="24"/>
                <w:highlight w:val="none"/>
              </w:rPr>
              <w:t>=3；若</w:t>
            </w:r>
            <w:r>
              <w:rPr>
                <w:rFonts w:hint="eastAsia" w:ascii="仿宋" w:hAnsi="仿宋" w:eastAsia="仿宋" w:cs="仿宋"/>
                <w:color w:val="auto"/>
                <w:sz w:val="24"/>
                <w:szCs w:val="24"/>
                <w:highlight w:val="none"/>
              </w:rPr>
              <w:object>
                <v:shape id="_x0000_i1031" o:spt="75" type="#_x0000_t75" style="height:18pt;width:15pt;" o:ole="t" filled="f" o:preferrelative="t" stroked="f" coordsize="21600,21600">
                  <v:path/>
                  <v:fill on="f" focussize="0,0"/>
                  <v:stroke on="f"/>
                  <v:imagedata r:id="rId11" o:title=""/>
                  <o:lock v:ext="edit" grouping="f" rotation="f" text="f" aspectratio="t"/>
                  <w10:wrap type="none"/>
                  <w10:anchorlock/>
                </v:shape>
                <o:OLEObject Type="Embed" ProgID="Equation.3" ShapeID="_x0000_i1031" DrawAspect="Content" ObjectID="_1468075731" r:id="rId15">
                  <o:LockedField>false</o:LockedField>
                </o:OLEObject>
              </w:objec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rPr>
              <w:t>D，则</w:t>
            </w:r>
            <w:r>
              <w:rPr>
                <w:rFonts w:hint="eastAsia" w:ascii="仿宋" w:hAnsi="仿宋" w:eastAsia="仿宋" w:cs="仿宋"/>
                <w:color w:val="auto"/>
                <w:sz w:val="24"/>
                <w:szCs w:val="24"/>
                <w:highlight w:val="none"/>
              </w:rPr>
              <w:object>
                <v:shape id="_x0000_i1032" o:spt="75" type="#_x0000_t75" style="height:13pt;width:12pt;" o:ole="t" filled="f" stroked="f" coordsize="21600,21600">
                  <v:path/>
                  <v:fill on="f" focussize="0,0"/>
                  <v:stroke on="f"/>
                  <v:imagedata r:id="rId14" o:title=""/>
                  <o:lock v:ext="edit" grouping="f" rotation="f" text="f" aspectratio="t"/>
                  <w10:wrap type="none"/>
                  <w10:anchorlock/>
                </v:shape>
                <o:OLEObject Type="Embed" ProgID="Equation.3" ShapeID="_x0000_i1032" DrawAspect="Content" ObjectID="_1468075732" r:id="rId16">
                  <o:LockedField>false</o:LockedField>
                </o:OLEObject>
              </w:object>
            </w:r>
            <w:r>
              <w:rPr>
                <w:rFonts w:hint="eastAsia" w:ascii="仿宋" w:hAnsi="仿宋" w:eastAsia="仿宋" w:cs="仿宋"/>
                <w:color w:val="auto"/>
                <w:sz w:val="24"/>
                <w:szCs w:val="24"/>
                <w:highlight w:val="none"/>
              </w:rPr>
              <w:t>=1。</w:t>
            </w:r>
          </w:p>
          <w:p>
            <w:pPr>
              <w:spacing w:line="312" w:lineRule="auto"/>
              <w:ind w:firstLine="540" w:firstLineChars="225"/>
              <w:rPr>
                <w:rFonts w:hint="eastAsia" w:ascii="仿宋" w:hAnsi="仿宋" w:eastAsia="仿宋" w:cs="仿宋"/>
                <w:color w:val="auto"/>
                <w:sz w:val="24"/>
                <w:szCs w:val="24"/>
                <w:highlight w:val="none"/>
              </w:rPr>
            </w:pPr>
          </w:p>
          <w:p>
            <w:pPr>
              <w:snapToGrid w:val="0"/>
              <w:spacing w:line="312" w:lineRule="auto"/>
              <w:rPr>
                <w:rFonts w:hint="eastAsia" w:ascii="仿宋" w:hAnsi="仿宋" w:eastAsia="仿宋" w:cs="仿宋"/>
                <w:color w:val="auto"/>
                <w:sz w:val="24"/>
                <w:szCs w:val="24"/>
                <w:highlight w:val="none"/>
              </w:rPr>
            </w:pPr>
            <w:r>
              <w:rPr>
                <w:rFonts w:hint="eastAsia" w:ascii="仿宋" w:hAnsi="仿宋" w:eastAsia="仿宋" w:cs="仿宋"/>
                <w:b/>
                <w:color w:val="auto"/>
                <w:sz w:val="24"/>
                <w:szCs w:val="24"/>
                <w:highlight w:val="none"/>
              </w:rPr>
              <w:t>注：评标价得分四舍五入至小数点后四位。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467" w:hRule="atLeast"/>
        </w:trPr>
        <w:tc>
          <w:tcPr>
            <w:tcW w:w="742" w:type="dxa"/>
            <w:vMerge w:val="restart"/>
            <w:vAlign w:val="center"/>
          </w:tcPr>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2.2.4（</w:t>
            </w: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w:t>
            </w:r>
          </w:p>
          <w:p>
            <w:pPr>
              <w:ind w:left="0" w:leftChars="0" w:right="0" w:rightChars="0" w:firstLine="0" w:firstLineChars="0"/>
              <w:jc w:val="center"/>
              <w:rPr>
                <w:rFonts w:hint="eastAsia" w:ascii="仿宋" w:hAnsi="仿宋" w:eastAsia="仿宋" w:cs="仿宋"/>
                <w:color w:val="auto"/>
                <w:sz w:val="24"/>
                <w:szCs w:val="24"/>
                <w:highlight w:val="none"/>
              </w:rPr>
            </w:pPr>
          </w:p>
        </w:tc>
        <w:tc>
          <w:tcPr>
            <w:tcW w:w="960" w:type="dxa"/>
            <w:vMerge w:val="restart"/>
            <w:vAlign w:val="center"/>
          </w:tcPr>
          <w:p>
            <w:pPr>
              <w:ind w:left="0" w:leftChars="0" w:right="0" w:righ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其他</w:t>
            </w:r>
          </w:p>
          <w:p>
            <w:pPr>
              <w:ind w:left="0" w:leftChars="0" w:right="0" w:righ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因素</w:t>
            </w:r>
          </w:p>
        </w:tc>
        <w:tc>
          <w:tcPr>
            <w:tcW w:w="965" w:type="dxa"/>
            <w:vAlign w:val="center"/>
          </w:tcPr>
          <w:p>
            <w:pPr>
              <w:ind w:left="0" w:leftChars="0" w:right="0" w:righ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eastAsia="zh-CN"/>
              </w:rPr>
              <w:t>业绩</w:t>
            </w:r>
          </w:p>
        </w:tc>
        <w:tc>
          <w:tcPr>
            <w:tcW w:w="1265" w:type="dxa"/>
            <w:vAlign w:val="center"/>
          </w:tcPr>
          <w:p>
            <w:pPr>
              <w:ind w:left="0" w:leftChars="0" w:right="0" w:rightChars="0" w:firstLine="0" w:firstLineChars="0"/>
              <w:jc w:val="center"/>
              <w:rPr>
                <w:rFonts w:hint="eastAsia" w:ascii="仿宋" w:hAnsi="仿宋" w:eastAsia="仿宋" w:cs="仿宋"/>
                <w:color w:val="auto"/>
                <w:sz w:val="24"/>
                <w:szCs w:val="24"/>
                <w:highlight w:val="none"/>
                <w:lang w:val="en-US" w:eastAsia="zh-CN"/>
              </w:rPr>
            </w:pPr>
          </w:p>
        </w:tc>
        <w:tc>
          <w:tcPr>
            <w:tcW w:w="660" w:type="dxa"/>
            <w:vAlign w:val="center"/>
          </w:tcPr>
          <w:p>
            <w:pPr>
              <w:ind w:left="0" w:leftChars="0" w:right="0" w:rightChars="0" w:firstLine="0" w:firstLineChars="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lang w:val="en-US" w:eastAsia="zh-CN"/>
              </w:rPr>
              <w:t>3分</w:t>
            </w:r>
          </w:p>
        </w:tc>
        <w:tc>
          <w:tcPr>
            <w:tcW w:w="5463" w:type="dxa"/>
            <w:vAlign w:val="center"/>
          </w:tcPr>
          <w:p>
            <w:pPr>
              <w:spacing w:line="400" w:lineRule="exact"/>
              <w:ind w:firstLine="480" w:firstLineChars="200"/>
              <w:jc w:val="left"/>
              <w:rPr>
                <w:rFonts w:hint="eastAsia" w:ascii="仿宋" w:hAnsi="仿宋" w:eastAsia="仿宋" w:cs="仿宋"/>
                <w:color w:val="000000"/>
                <w:sz w:val="24"/>
                <w:szCs w:val="24"/>
                <w:highlight w:val="none"/>
                <w:u w:val="none"/>
              </w:rPr>
            </w:pPr>
            <w:r>
              <w:rPr>
                <w:rFonts w:hint="eastAsia" w:ascii="仿宋" w:hAnsi="仿宋" w:eastAsia="仿宋" w:cs="仿宋"/>
                <w:snapToGrid w:val="0"/>
                <w:color w:val="000000"/>
                <w:kern w:val="0"/>
                <w:sz w:val="24"/>
                <w:szCs w:val="24"/>
                <w:highlight w:val="none"/>
              </w:rPr>
              <w:t>满足投标须知资格审查条件（业绩最低要求）的</w:t>
            </w:r>
            <w:r>
              <w:rPr>
                <w:rFonts w:hint="eastAsia" w:ascii="仿宋" w:hAnsi="仿宋" w:eastAsia="仿宋" w:cs="仿宋"/>
                <w:color w:val="000000"/>
                <w:sz w:val="24"/>
                <w:szCs w:val="24"/>
                <w:highlight w:val="none"/>
              </w:rPr>
              <w:t>，得基本分</w:t>
            </w:r>
            <w:r>
              <w:rPr>
                <w:rFonts w:hint="eastAsia" w:ascii="仿宋" w:hAnsi="仿宋" w:eastAsia="仿宋" w:cs="仿宋"/>
                <w:color w:val="000000"/>
                <w:sz w:val="24"/>
                <w:szCs w:val="24"/>
                <w:highlight w:val="none"/>
                <w:lang w:val="en-US" w:eastAsia="zh-CN"/>
              </w:rPr>
              <w:t>1.8</w:t>
            </w:r>
            <w:r>
              <w:rPr>
                <w:rFonts w:hint="eastAsia" w:ascii="仿宋" w:hAnsi="仿宋" w:eastAsia="仿宋" w:cs="仿宋"/>
                <w:color w:val="000000"/>
                <w:sz w:val="24"/>
                <w:szCs w:val="24"/>
                <w:highlight w:val="none"/>
              </w:rPr>
              <w:t>分；</w:t>
            </w:r>
            <w:r>
              <w:rPr>
                <w:rFonts w:hint="eastAsia" w:ascii="仿宋" w:hAnsi="仿宋" w:eastAsia="仿宋" w:cs="仿宋"/>
                <w:color w:val="000000"/>
                <w:sz w:val="24"/>
                <w:szCs w:val="24"/>
                <w:highlight w:val="none"/>
                <w:lang w:eastAsia="zh-CN"/>
              </w:rPr>
              <w:t>自</w:t>
            </w:r>
            <w:r>
              <w:rPr>
                <w:rFonts w:hint="eastAsia" w:ascii="仿宋" w:hAnsi="仿宋" w:eastAsia="仿宋" w:cs="仿宋"/>
                <w:color w:val="000000"/>
                <w:sz w:val="24"/>
                <w:szCs w:val="24"/>
                <w:highlight w:val="none"/>
              </w:rPr>
              <w:t>201</w:t>
            </w:r>
            <w:r>
              <w:rPr>
                <w:rFonts w:hint="eastAsia" w:ascii="仿宋" w:hAnsi="仿宋" w:eastAsia="仿宋" w:cs="仿宋"/>
                <w:color w:val="000000"/>
                <w:sz w:val="24"/>
                <w:szCs w:val="24"/>
                <w:highlight w:val="none"/>
                <w:lang w:val="en-US" w:eastAsia="zh-CN"/>
              </w:rPr>
              <w:t>3</w:t>
            </w:r>
            <w:r>
              <w:rPr>
                <w:rFonts w:hint="eastAsia" w:ascii="仿宋" w:hAnsi="仿宋" w:eastAsia="仿宋" w:cs="仿宋"/>
                <w:color w:val="000000"/>
                <w:sz w:val="24"/>
                <w:szCs w:val="24"/>
                <w:highlight w:val="none"/>
              </w:rPr>
              <w:t>年1月1日至递交投标文件</w:t>
            </w:r>
            <w:r>
              <w:rPr>
                <w:rFonts w:hint="eastAsia" w:ascii="仿宋" w:hAnsi="仿宋" w:eastAsia="仿宋" w:cs="仿宋"/>
                <w:color w:val="000000"/>
                <w:sz w:val="24"/>
                <w:szCs w:val="24"/>
                <w:highlight w:val="none"/>
                <w:lang w:eastAsia="zh-CN"/>
              </w:rPr>
              <w:t>截止</w:t>
            </w:r>
            <w:r>
              <w:rPr>
                <w:rFonts w:hint="eastAsia" w:ascii="仿宋" w:hAnsi="仿宋" w:eastAsia="仿宋" w:cs="仿宋"/>
                <w:color w:val="000000"/>
                <w:sz w:val="24"/>
                <w:szCs w:val="24"/>
                <w:highlight w:val="none"/>
              </w:rPr>
              <w:t>之日止</w:t>
            </w:r>
            <w:r>
              <w:rPr>
                <w:rFonts w:hint="eastAsia" w:ascii="仿宋" w:hAnsi="仿宋" w:eastAsia="仿宋" w:cs="仿宋"/>
                <w:color w:val="000000"/>
                <w:sz w:val="24"/>
                <w:szCs w:val="24"/>
                <w:highlight w:val="none"/>
                <w:lang w:eastAsia="zh-CN"/>
              </w:rPr>
              <w:t>，</w:t>
            </w:r>
            <w:r>
              <w:rPr>
                <w:rFonts w:hint="eastAsia" w:ascii="仿宋" w:hAnsi="仿宋" w:eastAsia="仿宋" w:cs="仿宋"/>
                <w:color w:val="000000"/>
                <w:sz w:val="24"/>
                <w:szCs w:val="24"/>
                <w:highlight w:val="none"/>
              </w:rPr>
              <w:t>独立完成</w:t>
            </w:r>
            <w:r>
              <w:rPr>
                <w:rFonts w:hint="eastAsia" w:ascii="仿宋" w:hAnsi="仿宋" w:eastAsia="仿宋" w:cs="仿宋"/>
                <w:color w:val="auto"/>
                <w:kern w:val="2"/>
                <w:sz w:val="24"/>
                <w:szCs w:val="24"/>
                <w:highlight w:val="none"/>
              </w:rPr>
              <w:t>营运高速公路沥青混凝土路面</w:t>
            </w:r>
            <w:r>
              <w:rPr>
                <w:rFonts w:hint="eastAsia" w:ascii="仿宋" w:hAnsi="仿宋" w:eastAsia="仿宋" w:cs="仿宋"/>
                <w:color w:val="auto"/>
                <w:kern w:val="2"/>
                <w:sz w:val="24"/>
                <w:szCs w:val="24"/>
                <w:highlight w:val="none"/>
                <w:lang w:eastAsia="zh-CN"/>
              </w:rPr>
              <w:t>养护</w:t>
            </w:r>
            <w:r>
              <w:rPr>
                <w:rFonts w:hint="eastAsia" w:ascii="仿宋" w:hAnsi="仿宋" w:eastAsia="仿宋" w:cs="仿宋"/>
                <w:color w:val="auto"/>
                <w:kern w:val="2"/>
                <w:sz w:val="24"/>
                <w:szCs w:val="24"/>
                <w:highlight w:val="none"/>
              </w:rPr>
              <w:t>工程施工</w:t>
            </w:r>
            <w:r>
              <w:rPr>
                <w:rFonts w:hint="eastAsia" w:ascii="仿宋" w:hAnsi="仿宋" w:eastAsia="仿宋" w:cs="仿宋"/>
                <w:color w:val="auto"/>
                <w:kern w:val="2"/>
                <w:sz w:val="24"/>
                <w:szCs w:val="24"/>
                <w:highlight w:val="none"/>
                <w:lang w:eastAsia="zh-CN"/>
              </w:rPr>
              <w:t>（</w:t>
            </w:r>
            <w:r>
              <w:rPr>
                <w:rFonts w:hint="eastAsia" w:ascii="仿宋" w:hAnsi="仿宋" w:eastAsia="仿宋" w:cs="仿宋"/>
                <w:color w:val="auto"/>
                <w:kern w:val="2"/>
                <w:sz w:val="24"/>
                <w:szCs w:val="24"/>
                <w:highlight w:val="none"/>
              </w:rPr>
              <w:t>包含大中修或加铺工程，不包含新建、改扩建</w:t>
            </w:r>
            <w:r>
              <w:rPr>
                <w:rFonts w:hint="eastAsia" w:ascii="仿宋" w:hAnsi="仿宋" w:eastAsia="仿宋" w:cs="仿宋"/>
                <w:color w:val="auto"/>
                <w:kern w:val="2"/>
                <w:sz w:val="24"/>
                <w:szCs w:val="24"/>
                <w:highlight w:val="none"/>
                <w:lang w:eastAsia="zh-CN"/>
              </w:rPr>
              <w:t>的</w:t>
            </w:r>
            <w:r>
              <w:rPr>
                <w:rFonts w:hint="eastAsia" w:ascii="仿宋" w:hAnsi="仿宋" w:eastAsia="仿宋" w:cs="仿宋"/>
                <w:color w:val="auto"/>
                <w:kern w:val="2"/>
                <w:sz w:val="24"/>
                <w:szCs w:val="24"/>
                <w:highlight w:val="none"/>
              </w:rPr>
              <w:t>高速公路沥青混凝土路面工程</w:t>
            </w:r>
            <w:r>
              <w:rPr>
                <w:rFonts w:hint="eastAsia" w:ascii="仿宋" w:hAnsi="仿宋" w:eastAsia="仿宋" w:cs="仿宋"/>
                <w:color w:val="auto"/>
                <w:kern w:val="2"/>
                <w:sz w:val="24"/>
                <w:szCs w:val="24"/>
                <w:highlight w:val="none"/>
                <w:lang w:eastAsia="zh-CN"/>
              </w:rPr>
              <w:t>，</w:t>
            </w:r>
            <w:r>
              <w:rPr>
                <w:rFonts w:hint="eastAsia" w:ascii="仿宋" w:hAnsi="仿宋" w:eastAsia="仿宋" w:cs="仿宋"/>
                <w:b w:val="0"/>
                <w:bCs/>
                <w:color w:val="auto"/>
                <w:spacing w:val="-4"/>
                <w:sz w:val="24"/>
                <w:szCs w:val="24"/>
                <w:highlight w:val="none"/>
                <w:lang w:val="en-US" w:eastAsia="zh-CN"/>
              </w:rPr>
              <w:t>不含资审业绩</w:t>
            </w:r>
            <w:r>
              <w:rPr>
                <w:rFonts w:hint="eastAsia" w:ascii="仿宋" w:hAnsi="仿宋" w:eastAsia="仿宋" w:cs="仿宋"/>
                <w:color w:val="auto"/>
                <w:kern w:val="2"/>
                <w:sz w:val="24"/>
                <w:szCs w:val="24"/>
                <w:highlight w:val="none"/>
                <w:lang w:eastAsia="zh-CN"/>
              </w:rPr>
              <w:t>）</w:t>
            </w:r>
            <w:r>
              <w:rPr>
                <w:rFonts w:hint="eastAsia" w:ascii="仿宋" w:hAnsi="仿宋" w:eastAsia="仿宋" w:cs="仿宋"/>
                <w:color w:val="000000"/>
                <w:sz w:val="24"/>
                <w:szCs w:val="24"/>
                <w:highlight w:val="none"/>
              </w:rPr>
              <w:t>累计</w:t>
            </w:r>
            <w:r>
              <w:rPr>
                <w:rFonts w:hint="eastAsia" w:ascii="仿宋" w:hAnsi="仿宋" w:eastAsia="仿宋" w:cs="仿宋"/>
                <w:color w:val="000000"/>
                <w:sz w:val="24"/>
                <w:szCs w:val="24"/>
                <w:highlight w:val="none"/>
                <w:lang w:eastAsia="zh-CN"/>
              </w:rPr>
              <w:t>结算</w:t>
            </w:r>
            <w:r>
              <w:rPr>
                <w:rFonts w:hint="eastAsia" w:ascii="仿宋" w:hAnsi="仿宋" w:eastAsia="仿宋" w:cs="仿宋"/>
                <w:color w:val="000000"/>
                <w:sz w:val="24"/>
                <w:szCs w:val="24"/>
                <w:highlight w:val="none"/>
              </w:rPr>
              <w:t>金额</w:t>
            </w:r>
            <w:r>
              <w:rPr>
                <w:rFonts w:hint="eastAsia" w:ascii="仿宋" w:hAnsi="仿宋" w:eastAsia="仿宋" w:cs="仿宋"/>
                <w:b w:val="0"/>
                <w:bCs/>
                <w:color w:val="000000"/>
                <w:sz w:val="24"/>
                <w:szCs w:val="24"/>
                <w:highlight w:val="none"/>
                <w:lang w:val="en-US" w:eastAsia="zh-CN"/>
              </w:rPr>
              <w:t>在3000万元基础上，</w:t>
            </w:r>
            <w:r>
              <w:rPr>
                <w:rFonts w:hint="eastAsia" w:ascii="仿宋" w:hAnsi="仿宋" w:eastAsia="仿宋" w:cs="仿宋"/>
                <w:b w:val="0"/>
                <w:bCs/>
                <w:color w:val="000000"/>
                <w:sz w:val="24"/>
                <w:szCs w:val="24"/>
                <w:highlight w:val="none"/>
                <w:lang w:eastAsia="zh-CN"/>
              </w:rPr>
              <w:t>每超过</w:t>
            </w:r>
            <w:r>
              <w:rPr>
                <w:rFonts w:hint="eastAsia" w:ascii="仿宋" w:hAnsi="仿宋" w:eastAsia="仿宋" w:cs="仿宋"/>
                <w:b w:val="0"/>
                <w:bCs/>
                <w:color w:val="000000"/>
                <w:sz w:val="24"/>
                <w:szCs w:val="24"/>
                <w:highlight w:val="none"/>
                <w:lang w:val="en-US" w:eastAsia="zh-CN"/>
              </w:rPr>
              <w:t>1500万元</w:t>
            </w:r>
            <w:r>
              <w:rPr>
                <w:rFonts w:hint="eastAsia" w:ascii="仿宋" w:hAnsi="仿宋" w:eastAsia="仿宋" w:cs="仿宋"/>
                <w:b w:val="0"/>
                <w:bCs/>
                <w:color w:val="000000"/>
                <w:sz w:val="24"/>
                <w:szCs w:val="24"/>
                <w:highlight w:val="none"/>
              </w:rPr>
              <w:t>加0.</w:t>
            </w:r>
            <w:r>
              <w:rPr>
                <w:rFonts w:hint="eastAsia" w:ascii="仿宋" w:hAnsi="仿宋" w:eastAsia="仿宋" w:cs="仿宋"/>
                <w:b w:val="0"/>
                <w:bCs/>
                <w:color w:val="000000"/>
                <w:sz w:val="24"/>
                <w:szCs w:val="24"/>
                <w:highlight w:val="none"/>
                <w:lang w:val="en-US" w:eastAsia="zh-CN"/>
              </w:rPr>
              <w:t>2</w:t>
            </w:r>
            <w:r>
              <w:rPr>
                <w:rFonts w:hint="eastAsia" w:ascii="仿宋" w:hAnsi="仿宋" w:eastAsia="仿宋" w:cs="仿宋"/>
                <w:b w:val="0"/>
                <w:bCs/>
                <w:color w:val="000000"/>
                <w:sz w:val="24"/>
                <w:szCs w:val="24"/>
                <w:highlight w:val="none"/>
              </w:rPr>
              <w:t>分</w:t>
            </w:r>
            <w:r>
              <w:rPr>
                <w:rFonts w:hint="eastAsia" w:ascii="仿宋" w:hAnsi="仿宋" w:eastAsia="仿宋" w:cs="仿宋"/>
                <w:color w:val="000000"/>
                <w:sz w:val="24"/>
                <w:szCs w:val="24"/>
                <w:highlight w:val="none"/>
                <w:u w:val="none"/>
              </w:rPr>
              <w:t>（</w:t>
            </w:r>
            <w:r>
              <w:rPr>
                <w:rFonts w:hint="eastAsia" w:ascii="仿宋" w:hAnsi="仿宋" w:eastAsia="仿宋" w:cs="仿宋"/>
                <w:color w:val="000000"/>
                <w:sz w:val="24"/>
                <w:szCs w:val="24"/>
                <w:highlight w:val="none"/>
                <w:u w:val="none"/>
                <w:lang w:eastAsia="zh-CN"/>
              </w:rPr>
              <w:t>不超过</w:t>
            </w:r>
            <w:r>
              <w:rPr>
                <w:rFonts w:hint="eastAsia" w:ascii="仿宋" w:hAnsi="仿宋" w:eastAsia="仿宋" w:cs="仿宋"/>
                <w:color w:val="000000"/>
                <w:sz w:val="24"/>
                <w:szCs w:val="24"/>
                <w:highlight w:val="none"/>
                <w:u w:val="none"/>
                <w:lang w:val="en-US" w:eastAsia="zh-CN"/>
              </w:rPr>
              <w:t>1500万元部分不加分</w:t>
            </w:r>
            <w:r>
              <w:rPr>
                <w:rFonts w:hint="eastAsia" w:ascii="仿宋" w:hAnsi="仿宋" w:eastAsia="仿宋" w:cs="仿宋"/>
                <w:color w:val="000000"/>
                <w:sz w:val="24"/>
                <w:szCs w:val="24"/>
                <w:highlight w:val="none"/>
                <w:u w:val="none"/>
                <w:lang w:eastAsia="zh-CN"/>
              </w:rPr>
              <w:t>），</w:t>
            </w:r>
            <w:r>
              <w:rPr>
                <w:rFonts w:hint="eastAsia" w:ascii="仿宋" w:hAnsi="仿宋" w:eastAsia="仿宋" w:cs="仿宋"/>
                <w:color w:val="000000"/>
                <w:sz w:val="24"/>
                <w:szCs w:val="24"/>
                <w:highlight w:val="none"/>
                <w:u w:val="none"/>
              </w:rPr>
              <w:t>最高加分不超过</w:t>
            </w:r>
            <w:r>
              <w:rPr>
                <w:rFonts w:hint="eastAsia" w:ascii="仿宋" w:hAnsi="仿宋" w:eastAsia="仿宋" w:cs="仿宋"/>
                <w:color w:val="000000"/>
                <w:sz w:val="24"/>
                <w:szCs w:val="24"/>
                <w:highlight w:val="none"/>
                <w:u w:val="none"/>
                <w:lang w:val="en-US" w:eastAsia="zh-CN"/>
              </w:rPr>
              <w:t>1.2</w:t>
            </w:r>
            <w:r>
              <w:rPr>
                <w:rFonts w:hint="eastAsia" w:ascii="仿宋" w:hAnsi="仿宋" w:eastAsia="仿宋" w:cs="仿宋"/>
                <w:color w:val="000000"/>
                <w:sz w:val="24"/>
                <w:szCs w:val="24"/>
                <w:highlight w:val="none"/>
                <w:u w:val="none"/>
              </w:rPr>
              <w:t>分。</w:t>
            </w:r>
          </w:p>
          <w:p>
            <w:pPr>
              <w:spacing w:line="400" w:lineRule="exact"/>
              <w:ind w:firstLine="0" w:firstLineChars="0"/>
              <w:jc w:val="left"/>
              <w:rPr>
                <w:rFonts w:hint="eastAsia" w:ascii="仿宋" w:hAnsi="仿宋" w:eastAsia="仿宋" w:cs="仿宋"/>
                <w:color w:val="000000"/>
                <w:sz w:val="24"/>
                <w:szCs w:val="24"/>
                <w:highlight w:val="none"/>
                <w:u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000000"/>
                <w:sz w:val="24"/>
                <w:szCs w:val="24"/>
                <w:highlight w:val="none"/>
                <w:lang w:val="en-US" w:eastAsia="zh-CN"/>
              </w:rPr>
            </w:pPr>
            <w:r>
              <w:rPr>
                <w:rFonts w:hint="eastAsia" w:ascii="仿宋" w:hAnsi="仿宋" w:eastAsia="仿宋" w:cs="仿宋"/>
                <w:b/>
                <w:bCs/>
                <w:color w:val="000000"/>
                <w:sz w:val="24"/>
                <w:szCs w:val="24"/>
                <w:highlight w:val="none"/>
                <w:lang w:eastAsia="zh-CN"/>
              </w:rPr>
              <w:t>注：资格审查业绩不再作为加分业绩计</w:t>
            </w:r>
            <w:r>
              <w:rPr>
                <w:rFonts w:hint="eastAsia" w:ascii="仿宋" w:hAnsi="仿宋" w:eastAsia="仿宋" w:cs="仿宋"/>
                <w:color w:val="000000"/>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09" w:hRule="atLeast"/>
        </w:trPr>
        <w:tc>
          <w:tcPr>
            <w:tcW w:w="742" w:type="dxa"/>
            <w:vMerge w:val="continue"/>
            <w:vAlign w:val="center"/>
          </w:tcPr>
          <w:p>
            <w:pPr>
              <w:ind w:left="0" w:leftChars="0" w:right="0" w:rightChars="0" w:firstLine="0" w:firstLineChars="0"/>
              <w:jc w:val="center"/>
              <w:rPr>
                <w:rFonts w:hint="eastAsia" w:ascii="仿宋" w:hAnsi="仿宋" w:eastAsia="仿宋" w:cs="仿宋"/>
                <w:color w:val="auto"/>
                <w:sz w:val="24"/>
                <w:szCs w:val="24"/>
                <w:highlight w:val="none"/>
              </w:rPr>
            </w:pPr>
          </w:p>
        </w:tc>
        <w:tc>
          <w:tcPr>
            <w:tcW w:w="960" w:type="dxa"/>
            <w:vMerge w:val="continue"/>
            <w:vAlign w:val="center"/>
          </w:tcPr>
          <w:p>
            <w:pPr>
              <w:ind w:left="0" w:leftChars="0" w:right="0" w:rightChars="0" w:firstLine="0" w:firstLineChars="0"/>
              <w:jc w:val="center"/>
              <w:rPr>
                <w:rFonts w:hint="eastAsia" w:ascii="仿宋" w:hAnsi="仿宋" w:eastAsia="仿宋" w:cs="仿宋"/>
                <w:color w:val="auto"/>
                <w:sz w:val="24"/>
                <w:szCs w:val="24"/>
                <w:highlight w:val="none"/>
              </w:rPr>
            </w:pPr>
          </w:p>
        </w:tc>
        <w:tc>
          <w:tcPr>
            <w:tcW w:w="965" w:type="dxa"/>
            <w:vAlign w:val="center"/>
          </w:tcPr>
          <w:p>
            <w:pPr>
              <w:ind w:left="0" w:leftChars="0" w:right="0" w:rightChars="0" w:firstLine="0" w:firstLineChars="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机械</w:t>
            </w:r>
          </w:p>
          <w:p>
            <w:pPr>
              <w:ind w:left="0" w:leftChars="0" w:right="0" w:rightChars="0" w:firstLine="0" w:firstLineChars="0"/>
              <w:jc w:val="center"/>
              <w:rPr>
                <w:rFonts w:hint="eastAsia" w:ascii="仿宋" w:hAnsi="仿宋" w:eastAsia="仿宋" w:cs="仿宋"/>
                <w:color w:val="auto"/>
                <w:sz w:val="24"/>
                <w:szCs w:val="24"/>
                <w:highlight w:val="none"/>
                <w:lang w:eastAsia="zh-CN"/>
              </w:rPr>
            </w:pPr>
            <w:r>
              <w:rPr>
                <w:rFonts w:hint="eastAsia" w:ascii="仿宋" w:hAnsi="仿宋" w:eastAsia="仿宋" w:cs="仿宋"/>
                <w:color w:val="000000"/>
                <w:sz w:val="24"/>
                <w:szCs w:val="24"/>
                <w:highlight w:val="none"/>
              </w:rPr>
              <w:t>设备</w:t>
            </w:r>
            <w:r>
              <w:rPr>
                <w:rFonts w:hint="eastAsia" w:ascii="仿宋" w:hAnsi="仿宋" w:eastAsia="仿宋" w:cs="仿宋"/>
                <w:color w:val="000000"/>
                <w:sz w:val="24"/>
                <w:szCs w:val="24"/>
                <w:highlight w:val="none"/>
                <w:lang w:eastAsia="zh-CN"/>
              </w:rPr>
              <w:t>（</w:t>
            </w:r>
            <w:r>
              <w:rPr>
                <w:rFonts w:hint="eastAsia" w:ascii="仿宋" w:hAnsi="仿宋" w:eastAsia="仿宋" w:cs="仿宋"/>
                <w:color w:val="000000"/>
                <w:sz w:val="24"/>
                <w:szCs w:val="24"/>
                <w:highlight w:val="none"/>
              </w:rPr>
              <w:t>沥青</w:t>
            </w:r>
            <w:r>
              <w:rPr>
                <w:rFonts w:hint="eastAsia" w:ascii="仿宋" w:hAnsi="仿宋" w:eastAsia="仿宋" w:cs="仿宋"/>
                <w:color w:val="000000"/>
                <w:sz w:val="24"/>
                <w:szCs w:val="24"/>
                <w:highlight w:val="none"/>
                <w:lang w:eastAsia="zh-CN"/>
              </w:rPr>
              <w:t>混凝土</w:t>
            </w:r>
            <w:r>
              <w:rPr>
                <w:rFonts w:hint="eastAsia" w:ascii="仿宋" w:hAnsi="仿宋" w:eastAsia="仿宋" w:cs="仿宋"/>
                <w:color w:val="000000"/>
                <w:sz w:val="24"/>
                <w:szCs w:val="24"/>
                <w:highlight w:val="none"/>
              </w:rPr>
              <w:t>拌和设备</w:t>
            </w:r>
            <w:r>
              <w:rPr>
                <w:rFonts w:hint="eastAsia" w:ascii="仿宋" w:hAnsi="仿宋" w:eastAsia="仿宋" w:cs="仿宋"/>
                <w:color w:val="000000"/>
                <w:sz w:val="24"/>
                <w:szCs w:val="24"/>
                <w:highlight w:val="none"/>
                <w:lang w:eastAsia="zh-CN"/>
              </w:rPr>
              <w:t>）</w:t>
            </w:r>
          </w:p>
        </w:tc>
        <w:tc>
          <w:tcPr>
            <w:tcW w:w="1265" w:type="dxa"/>
            <w:vAlign w:val="center"/>
          </w:tcPr>
          <w:p>
            <w:pPr>
              <w:ind w:left="0" w:leftChars="0" w:right="0" w:rightChars="0" w:firstLine="0" w:firstLineChars="0"/>
              <w:jc w:val="center"/>
              <w:rPr>
                <w:rFonts w:hint="eastAsia" w:ascii="仿宋" w:hAnsi="仿宋" w:eastAsia="仿宋" w:cs="仿宋"/>
                <w:color w:val="auto"/>
                <w:sz w:val="24"/>
                <w:szCs w:val="24"/>
                <w:highlight w:val="none"/>
              </w:rPr>
            </w:pPr>
          </w:p>
        </w:tc>
        <w:tc>
          <w:tcPr>
            <w:tcW w:w="660" w:type="dxa"/>
            <w:vAlign w:val="center"/>
          </w:tcPr>
          <w:p>
            <w:pP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2分</w:t>
            </w:r>
          </w:p>
        </w:tc>
        <w:tc>
          <w:tcPr>
            <w:tcW w:w="5463"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snapToGrid w:val="0"/>
                <w:color w:val="000000"/>
                <w:kern w:val="0"/>
                <w:sz w:val="24"/>
                <w:szCs w:val="24"/>
                <w:highlight w:val="none"/>
                <w:lang w:eastAsia="zh-CN"/>
              </w:rPr>
            </w:pPr>
            <w:r>
              <w:rPr>
                <w:rFonts w:hint="eastAsia" w:ascii="仿宋" w:hAnsi="仿宋" w:eastAsia="仿宋" w:cs="仿宋"/>
                <w:snapToGrid w:val="0"/>
                <w:color w:val="000000"/>
                <w:kern w:val="0"/>
                <w:sz w:val="24"/>
                <w:szCs w:val="24"/>
                <w:highlight w:val="none"/>
              </w:rPr>
              <w:t>满足投标须知资格审查条件（</w:t>
            </w:r>
            <w:r>
              <w:rPr>
                <w:rFonts w:hint="eastAsia" w:ascii="仿宋" w:hAnsi="仿宋" w:eastAsia="仿宋" w:cs="仿宋"/>
                <w:snapToGrid w:val="0"/>
                <w:color w:val="000000"/>
                <w:kern w:val="0"/>
                <w:sz w:val="24"/>
                <w:szCs w:val="24"/>
                <w:highlight w:val="none"/>
                <w:lang w:eastAsia="zh-CN"/>
              </w:rPr>
              <w:t>主要设备</w:t>
            </w:r>
            <w:r>
              <w:rPr>
                <w:rFonts w:hint="eastAsia" w:ascii="仿宋" w:hAnsi="仿宋" w:eastAsia="仿宋" w:cs="仿宋"/>
                <w:snapToGrid w:val="0"/>
                <w:color w:val="000000"/>
                <w:kern w:val="0"/>
                <w:sz w:val="24"/>
                <w:szCs w:val="24"/>
                <w:highlight w:val="none"/>
              </w:rPr>
              <w:t>最低要求</w:t>
            </w:r>
            <w:r>
              <w:rPr>
                <w:rFonts w:hint="eastAsia" w:ascii="仿宋" w:hAnsi="仿宋" w:eastAsia="仿宋" w:cs="仿宋"/>
                <w:snapToGrid w:val="0"/>
                <w:color w:val="000000"/>
                <w:kern w:val="0"/>
                <w:sz w:val="24"/>
                <w:szCs w:val="24"/>
                <w:highlight w:val="none"/>
                <w:lang w:val="en-US" w:eastAsia="zh-CN"/>
              </w:rPr>
              <w:t>）的</w:t>
            </w:r>
            <w:r>
              <w:rPr>
                <w:rFonts w:hint="eastAsia" w:ascii="仿宋" w:hAnsi="仿宋" w:eastAsia="仿宋" w:cs="仿宋"/>
                <w:color w:val="000000"/>
                <w:sz w:val="24"/>
                <w:szCs w:val="24"/>
                <w:highlight w:val="none"/>
              </w:rPr>
              <w:t>沥青</w:t>
            </w:r>
            <w:r>
              <w:rPr>
                <w:rFonts w:hint="eastAsia" w:ascii="仿宋" w:hAnsi="仿宋" w:eastAsia="仿宋" w:cs="仿宋"/>
                <w:color w:val="000000"/>
                <w:sz w:val="24"/>
                <w:szCs w:val="24"/>
                <w:highlight w:val="none"/>
                <w:lang w:eastAsia="zh-CN"/>
              </w:rPr>
              <w:t>混凝土</w:t>
            </w:r>
            <w:r>
              <w:rPr>
                <w:rFonts w:hint="eastAsia" w:ascii="仿宋" w:hAnsi="仿宋" w:eastAsia="仿宋" w:cs="仿宋"/>
                <w:color w:val="000000"/>
                <w:sz w:val="24"/>
                <w:szCs w:val="24"/>
                <w:highlight w:val="none"/>
              </w:rPr>
              <w:t>拌和设备，得基本分</w:t>
            </w:r>
            <w:r>
              <w:rPr>
                <w:rFonts w:hint="eastAsia" w:ascii="仿宋" w:hAnsi="仿宋" w:eastAsia="仿宋" w:cs="仿宋"/>
                <w:color w:val="000000"/>
                <w:sz w:val="24"/>
                <w:szCs w:val="24"/>
                <w:highlight w:val="none"/>
                <w:lang w:val="en-US" w:eastAsia="zh-CN"/>
              </w:rPr>
              <w:t>1.2</w:t>
            </w:r>
            <w:r>
              <w:rPr>
                <w:rFonts w:hint="eastAsia" w:ascii="仿宋" w:hAnsi="仿宋" w:eastAsia="仿宋" w:cs="仿宋"/>
                <w:color w:val="000000"/>
                <w:sz w:val="24"/>
                <w:szCs w:val="24"/>
                <w:highlight w:val="none"/>
              </w:rPr>
              <w:t>分；沥青</w:t>
            </w:r>
            <w:r>
              <w:rPr>
                <w:rFonts w:hint="eastAsia" w:ascii="仿宋" w:hAnsi="仿宋" w:eastAsia="仿宋" w:cs="仿宋"/>
                <w:color w:val="000000"/>
                <w:sz w:val="24"/>
                <w:szCs w:val="24"/>
                <w:highlight w:val="none"/>
                <w:lang w:eastAsia="zh-CN"/>
              </w:rPr>
              <w:t>混凝土</w:t>
            </w:r>
            <w:r>
              <w:rPr>
                <w:rFonts w:hint="eastAsia" w:ascii="仿宋" w:hAnsi="仿宋" w:eastAsia="仿宋" w:cs="仿宋"/>
                <w:color w:val="000000"/>
                <w:sz w:val="24"/>
                <w:szCs w:val="24"/>
                <w:highlight w:val="none"/>
              </w:rPr>
              <w:t>拌和设备</w:t>
            </w:r>
            <w:r>
              <w:rPr>
                <w:rFonts w:hint="eastAsia" w:ascii="仿宋" w:hAnsi="仿宋" w:eastAsia="仿宋" w:cs="仿宋"/>
                <w:snapToGrid w:val="0"/>
                <w:color w:val="000000"/>
                <w:kern w:val="0"/>
                <w:sz w:val="24"/>
                <w:szCs w:val="24"/>
                <w:highlight w:val="none"/>
              </w:rPr>
              <w:t>为投标人自有设备，</w:t>
            </w:r>
            <w:r>
              <w:rPr>
                <w:rFonts w:hint="eastAsia" w:ascii="仿宋" w:hAnsi="仿宋" w:eastAsia="仿宋" w:cs="仿宋"/>
                <w:snapToGrid w:val="0"/>
                <w:color w:val="000000"/>
                <w:kern w:val="0"/>
                <w:sz w:val="24"/>
                <w:szCs w:val="24"/>
                <w:highlight w:val="none"/>
                <w:lang w:eastAsia="zh-CN"/>
              </w:rPr>
              <w:t>得</w:t>
            </w:r>
            <w:r>
              <w:rPr>
                <w:rFonts w:hint="eastAsia" w:ascii="仿宋" w:hAnsi="仿宋" w:eastAsia="仿宋" w:cs="仿宋"/>
                <w:snapToGrid w:val="0"/>
                <w:color w:val="000000"/>
                <w:kern w:val="0"/>
                <w:sz w:val="24"/>
                <w:szCs w:val="24"/>
                <w:highlight w:val="none"/>
                <w:lang w:val="en-US" w:eastAsia="zh-CN"/>
              </w:rPr>
              <w:t>2</w:t>
            </w:r>
            <w:r>
              <w:rPr>
                <w:rFonts w:hint="eastAsia" w:ascii="仿宋" w:hAnsi="仿宋" w:eastAsia="仿宋" w:cs="仿宋"/>
                <w:snapToGrid w:val="0"/>
                <w:color w:val="000000"/>
                <w:kern w:val="0"/>
                <w:sz w:val="24"/>
                <w:szCs w:val="24"/>
                <w:highlight w:val="none"/>
              </w:rPr>
              <w:t>分</w:t>
            </w:r>
            <w:r>
              <w:rPr>
                <w:rFonts w:hint="eastAsia" w:ascii="仿宋" w:hAnsi="仿宋" w:eastAsia="仿宋" w:cs="仿宋"/>
                <w:snapToGrid w:val="0"/>
                <w:color w:val="000000"/>
                <w:kern w:val="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snapToGrid w:val="0"/>
                <w:color w:val="000000"/>
                <w:kern w:val="0"/>
                <w:sz w:val="24"/>
                <w:szCs w:val="24"/>
                <w:highlight w:val="none"/>
                <w:lang w:eastAsia="zh-CN"/>
              </w:rPr>
            </w:pPr>
            <w:r>
              <w:rPr>
                <w:rFonts w:hint="eastAsia" w:ascii="仿宋" w:hAnsi="仿宋" w:eastAsia="仿宋" w:cs="仿宋"/>
                <w:color w:val="000000"/>
                <w:sz w:val="18"/>
                <w:szCs w:val="18"/>
                <w:highlight w:val="none"/>
                <w:lang w:eastAsia="zh-CN"/>
              </w:rPr>
              <w:t>注：</w:t>
            </w:r>
            <w:r>
              <w:rPr>
                <w:rFonts w:hint="eastAsia" w:ascii="仿宋" w:hAnsi="仿宋" w:eastAsia="仿宋" w:cs="仿宋"/>
                <w:color w:val="000000"/>
                <w:sz w:val="18"/>
                <w:szCs w:val="18"/>
                <w:highlight w:val="none"/>
              </w:rPr>
              <w:t>证明资料要求与资格审查条件(</w:t>
            </w:r>
            <w:r>
              <w:rPr>
                <w:rFonts w:hint="eastAsia" w:ascii="仿宋" w:hAnsi="仿宋" w:eastAsia="仿宋" w:cs="仿宋"/>
                <w:color w:val="000000"/>
                <w:sz w:val="18"/>
                <w:szCs w:val="18"/>
                <w:highlight w:val="none"/>
                <w:lang w:eastAsia="zh-CN"/>
              </w:rPr>
              <w:t>主要</w:t>
            </w:r>
            <w:r>
              <w:rPr>
                <w:rFonts w:hint="eastAsia" w:ascii="仿宋" w:hAnsi="仿宋" w:eastAsia="仿宋" w:cs="仿宋"/>
                <w:color w:val="000000"/>
                <w:sz w:val="18"/>
                <w:szCs w:val="18"/>
                <w:highlight w:val="none"/>
              </w:rPr>
              <w:t>设备最低要求)一致</w:t>
            </w:r>
            <w:r>
              <w:rPr>
                <w:rFonts w:hint="eastAsia" w:ascii="仿宋" w:hAnsi="仿宋" w:eastAsia="仿宋" w:cs="仿宋"/>
                <w:color w:val="000000"/>
                <w:sz w:val="21"/>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09" w:hRule="atLeast"/>
        </w:trPr>
        <w:tc>
          <w:tcPr>
            <w:tcW w:w="742" w:type="dxa"/>
            <w:vMerge w:val="continue"/>
            <w:vAlign w:val="center"/>
          </w:tcPr>
          <w:p>
            <w:pPr>
              <w:ind w:left="0" w:leftChars="0" w:right="0" w:rightChars="0" w:firstLine="0" w:firstLineChars="0"/>
              <w:jc w:val="center"/>
              <w:rPr>
                <w:rFonts w:hint="eastAsia" w:ascii="仿宋" w:hAnsi="仿宋" w:eastAsia="仿宋" w:cs="仿宋"/>
                <w:color w:val="auto"/>
                <w:sz w:val="24"/>
                <w:szCs w:val="24"/>
                <w:highlight w:val="none"/>
              </w:rPr>
            </w:pPr>
          </w:p>
        </w:tc>
        <w:tc>
          <w:tcPr>
            <w:tcW w:w="960" w:type="dxa"/>
            <w:vMerge w:val="continue"/>
            <w:vAlign w:val="center"/>
          </w:tcPr>
          <w:p>
            <w:pPr>
              <w:ind w:left="0" w:leftChars="0" w:right="0" w:rightChars="0" w:firstLine="0" w:firstLineChars="0"/>
              <w:jc w:val="center"/>
              <w:rPr>
                <w:rFonts w:hint="eastAsia" w:ascii="仿宋" w:hAnsi="仿宋" w:eastAsia="仿宋" w:cs="仿宋"/>
                <w:color w:val="auto"/>
                <w:sz w:val="24"/>
                <w:szCs w:val="24"/>
                <w:highlight w:val="none"/>
              </w:rPr>
            </w:pPr>
          </w:p>
        </w:tc>
        <w:tc>
          <w:tcPr>
            <w:tcW w:w="965" w:type="dxa"/>
            <w:vAlign w:val="center"/>
          </w:tcPr>
          <w:p>
            <w:pPr>
              <w:ind w:left="0" w:leftChars="0" w:right="0" w:rightChars="0" w:firstLine="0" w:firstLineChars="0"/>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履约</w:t>
            </w:r>
          </w:p>
          <w:p>
            <w:pPr>
              <w:ind w:left="0" w:leftChars="0" w:right="0" w:rightChars="0" w:firstLine="0" w:firstLineChars="0"/>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信誉</w:t>
            </w:r>
          </w:p>
        </w:tc>
        <w:tc>
          <w:tcPr>
            <w:tcW w:w="1265" w:type="dxa"/>
            <w:vAlign w:val="center"/>
          </w:tcPr>
          <w:p>
            <w:pPr>
              <w:ind w:left="0" w:leftChars="0" w:right="0" w:rightChars="0" w:firstLine="0" w:firstLineChars="0"/>
              <w:jc w:val="center"/>
              <w:rPr>
                <w:rFonts w:hint="eastAsia" w:ascii="仿宋" w:hAnsi="仿宋" w:eastAsia="仿宋" w:cs="仿宋"/>
                <w:color w:val="auto"/>
                <w:sz w:val="24"/>
                <w:szCs w:val="24"/>
                <w:highlight w:val="none"/>
              </w:rPr>
            </w:pPr>
          </w:p>
        </w:tc>
        <w:tc>
          <w:tcPr>
            <w:tcW w:w="660" w:type="dxa"/>
            <w:vAlign w:val="center"/>
          </w:tcPr>
          <w:p>
            <w:pP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10</w:t>
            </w:r>
            <w:r>
              <w:rPr>
                <w:rFonts w:hint="eastAsia" w:ascii="仿宋" w:hAnsi="仿宋" w:eastAsia="仿宋" w:cs="仿宋"/>
                <w:color w:val="auto"/>
                <w:sz w:val="24"/>
                <w:szCs w:val="24"/>
                <w:highlight w:val="none"/>
              </w:rPr>
              <w:t>分</w:t>
            </w:r>
          </w:p>
        </w:tc>
        <w:tc>
          <w:tcPr>
            <w:tcW w:w="5463" w:type="dxa"/>
            <w:vAlign w:val="center"/>
          </w:tcPr>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履约信誉情况：</w:t>
            </w:r>
          </w:p>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1.</w:t>
            </w:r>
            <w:r>
              <w:rPr>
                <w:rFonts w:hint="eastAsia" w:ascii="仿宋_GB2312" w:hAnsi="仿宋_GB2312" w:eastAsia="仿宋_GB2312" w:cs="仿宋_GB2312"/>
                <w:color w:val="auto"/>
                <w:sz w:val="24"/>
                <w:szCs w:val="24"/>
                <w:highlight w:val="none"/>
              </w:rPr>
              <w:t>信用等级</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lang w:val="en-US" w:eastAsia="zh-CN"/>
              </w:rPr>
              <w:t>5分</w:t>
            </w:r>
            <w:r>
              <w:rPr>
                <w:rFonts w:hint="eastAsia" w:ascii="仿宋_GB2312" w:hAnsi="仿宋_GB2312" w:eastAsia="仿宋_GB2312" w:cs="仿宋_GB2312"/>
                <w:color w:val="auto"/>
                <w:sz w:val="24"/>
                <w:szCs w:val="24"/>
                <w:highlight w:val="none"/>
                <w:lang w:eastAsia="zh-CN"/>
              </w:rPr>
              <w:t>）</w:t>
            </w:r>
          </w:p>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AA、A、B、C 级单位的信用等级分得分分别为 </w:t>
            </w:r>
            <w:r>
              <w:rPr>
                <w:rFonts w:hint="eastAsia" w:ascii="仿宋_GB2312" w:hAnsi="仿宋_GB2312" w:eastAsia="仿宋_GB2312" w:cs="仿宋_GB2312"/>
                <w:color w:val="auto"/>
                <w:sz w:val="24"/>
                <w:szCs w:val="24"/>
                <w:highlight w:val="none"/>
                <w:lang w:val="en-US" w:eastAsia="zh-CN"/>
              </w:rPr>
              <w:t>5.00</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val="en-US" w:eastAsia="zh-CN"/>
              </w:rPr>
              <w:t>4.75</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val="en-US" w:eastAsia="zh-CN"/>
              </w:rPr>
              <w:t>4.45</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val="en-US" w:eastAsia="zh-CN"/>
              </w:rPr>
              <w:t>3.65</w:t>
            </w:r>
            <w:r>
              <w:rPr>
                <w:rFonts w:hint="eastAsia" w:ascii="仿宋_GB2312" w:hAnsi="仿宋_GB2312" w:eastAsia="仿宋_GB2312" w:cs="仿宋_GB2312"/>
                <w:color w:val="auto"/>
                <w:sz w:val="24"/>
                <w:szCs w:val="24"/>
                <w:highlight w:val="none"/>
              </w:rPr>
              <w:t xml:space="preserve"> 分。</w:t>
            </w:r>
          </w:p>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注：信用等级的确定原则遵循投标人须知前附表 10.2 款的规定</w:t>
            </w:r>
            <w:r>
              <w:rPr>
                <w:rFonts w:hint="eastAsia" w:ascii="仿宋_GB2312" w:hAnsi="仿宋_GB2312" w:eastAsia="仿宋_GB2312" w:cs="仿宋_GB2312"/>
                <w:color w:val="auto"/>
                <w:sz w:val="24"/>
                <w:szCs w:val="24"/>
                <w:highlight w:val="none"/>
                <w:lang w:eastAsia="zh-CN"/>
              </w:rPr>
              <w:t>。</w:t>
            </w:r>
          </w:p>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w:t>
            </w:r>
            <w:r>
              <w:rPr>
                <w:rFonts w:hint="eastAsia" w:ascii="仿宋_GB2312" w:hAnsi="仿宋_GB2312" w:eastAsia="仿宋_GB2312" w:cs="仿宋_GB2312"/>
                <w:color w:val="auto"/>
                <w:sz w:val="24"/>
                <w:szCs w:val="24"/>
                <w:highlight w:val="none"/>
              </w:rPr>
              <w:t>履约情况：</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lang w:val="en-US" w:eastAsia="zh-CN"/>
              </w:rPr>
              <w:t>5</w:t>
            </w:r>
            <w:r>
              <w:rPr>
                <w:rFonts w:hint="eastAsia" w:ascii="仿宋_GB2312" w:hAnsi="仿宋_GB2312" w:eastAsia="仿宋_GB2312" w:cs="仿宋_GB2312"/>
                <w:color w:val="auto"/>
                <w:sz w:val="24"/>
                <w:szCs w:val="24"/>
                <w:highlight w:val="none"/>
              </w:rPr>
              <w:t>分</w:t>
            </w:r>
            <w:r>
              <w:rPr>
                <w:rFonts w:hint="eastAsia" w:ascii="仿宋_GB2312" w:hAnsi="仿宋_GB2312" w:eastAsia="仿宋_GB2312" w:cs="仿宋_GB2312"/>
                <w:color w:val="auto"/>
                <w:sz w:val="24"/>
                <w:szCs w:val="24"/>
                <w:highlight w:val="none"/>
                <w:lang w:eastAsia="zh-CN"/>
              </w:rPr>
              <w:t>）</w:t>
            </w:r>
          </w:p>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若没出现下述情形得满分，得满分 </w:t>
            </w:r>
            <w:r>
              <w:rPr>
                <w:rFonts w:hint="eastAsia" w:ascii="仿宋_GB2312" w:hAnsi="仿宋_GB2312" w:eastAsia="仿宋_GB2312" w:cs="仿宋_GB2312"/>
                <w:color w:val="auto"/>
                <w:sz w:val="24"/>
                <w:szCs w:val="24"/>
                <w:highlight w:val="none"/>
                <w:lang w:val="en-US" w:eastAsia="zh-CN"/>
              </w:rPr>
              <w:t>5</w:t>
            </w:r>
            <w:r>
              <w:rPr>
                <w:rFonts w:hint="eastAsia" w:ascii="仿宋_GB2312" w:hAnsi="仿宋_GB2312" w:eastAsia="仿宋_GB2312" w:cs="仿宋_GB2312"/>
                <w:color w:val="auto"/>
                <w:sz w:val="24"/>
                <w:szCs w:val="24"/>
                <w:highlight w:val="none"/>
              </w:rPr>
              <w:t xml:space="preserve"> 分。</w:t>
            </w:r>
          </w:p>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自</w:t>
            </w:r>
            <w:r>
              <w:rPr>
                <w:rFonts w:hint="eastAsia" w:ascii="仿宋_GB2312" w:hAnsi="仿宋_GB2312" w:eastAsia="仿宋_GB2312" w:cs="仿宋_GB2312"/>
                <w:color w:val="FF0000"/>
                <w:sz w:val="24"/>
                <w:szCs w:val="24"/>
                <w:highlight w:val="none"/>
                <w:lang w:val="en-US" w:eastAsia="zh-CN"/>
              </w:rPr>
              <w:t>2017</w:t>
            </w:r>
            <w:r>
              <w:rPr>
                <w:rFonts w:hint="eastAsia" w:ascii="仿宋_GB2312" w:hAnsi="仿宋_GB2312" w:eastAsia="仿宋_GB2312" w:cs="仿宋_GB2312"/>
                <w:color w:val="FF0000"/>
                <w:sz w:val="24"/>
                <w:szCs w:val="24"/>
                <w:highlight w:val="none"/>
              </w:rPr>
              <w:t>年</w:t>
            </w:r>
            <w:r>
              <w:rPr>
                <w:rFonts w:hint="eastAsia" w:ascii="仿宋_GB2312" w:hAnsi="仿宋_GB2312" w:eastAsia="仿宋_GB2312" w:cs="仿宋_GB2312"/>
                <w:color w:val="FF0000"/>
                <w:sz w:val="24"/>
                <w:szCs w:val="24"/>
                <w:highlight w:val="none"/>
                <w:u w:val="single" w:color="auto"/>
              </w:rPr>
              <w:t xml:space="preserve">   </w:t>
            </w:r>
            <w:r>
              <w:rPr>
                <w:rFonts w:hint="eastAsia" w:ascii="仿宋_GB2312" w:hAnsi="仿宋_GB2312" w:eastAsia="仿宋_GB2312" w:cs="仿宋_GB2312"/>
                <w:color w:val="FF0000"/>
                <w:sz w:val="24"/>
                <w:szCs w:val="24"/>
                <w:highlight w:val="none"/>
              </w:rPr>
              <w:t>月</w:t>
            </w:r>
            <w:r>
              <w:rPr>
                <w:rFonts w:hint="eastAsia" w:ascii="仿宋_GB2312" w:hAnsi="仿宋_GB2312" w:eastAsia="仿宋_GB2312" w:cs="仿宋_GB2312"/>
                <w:color w:val="FF0000"/>
                <w:sz w:val="24"/>
                <w:szCs w:val="24"/>
                <w:highlight w:val="none"/>
                <w:u w:val="single" w:color="auto"/>
              </w:rPr>
              <w:t xml:space="preserve">  </w:t>
            </w:r>
            <w:r>
              <w:rPr>
                <w:rFonts w:hint="eastAsia" w:ascii="仿宋_GB2312" w:hAnsi="仿宋_GB2312" w:eastAsia="仿宋_GB2312" w:cs="仿宋_GB2312"/>
                <w:color w:val="FF0000"/>
                <w:sz w:val="24"/>
                <w:szCs w:val="24"/>
                <w:highlight w:val="none"/>
                <w:u w:val="single" w:color="auto"/>
                <w:lang w:val="en-US" w:eastAsia="zh-CN"/>
              </w:rPr>
              <w:t xml:space="preserve">   </w:t>
            </w:r>
            <w:r>
              <w:rPr>
                <w:rFonts w:hint="eastAsia" w:ascii="仿宋_GB2312" w:hAnsi="仿宋_GB2312" w:eastAsia="仿宋_GB2312" w:cs="仿宋_GB2312"/>
                <w:color w:val="FF0000"/>
                <w:sz w:val="24"/>
                <w:szCs w:val="24"/>
                <w:highlight w:val="none"/>
              </w:rPr>
              <w:t>日至</w:t>
            </w:r>
            <w:r>
              <w:rPr>
                <w:rFonts w:hint="eastAsia" w:ascii="仿宋_GB2312" w:hAnsi="仿宋_GB2312" w:eastAsia="仿宋_GB2312" w:cs="仿宋_GB2312"/>
                <w:color w:val="auto"/>
                <w:sz w:val="24"/>
                <w:szCs w:val="24"/>
                <w:highlight w:val="none"/>
              </w:rPr>
              <w:t>投标文件递交截止日（投标文件递交截止日前</w:t>
            </w:r>
            <w:r>
              <w:rPr>
                <w:rFonts w:hint="eastAsia" w:ascii="仿宋_GB2312" w:hAnsi="仿宋_GB2312" w:eastAsia="仿宋_GB2312" w:cs="仿宋_GB2312"/>
                <w:color w:val="auto"/>
                <w:sz w:val="24"/>
                <w:szCs w:val="24"/>
                <w:highlight w:val="none"/>
                <w:lang w:val="en-US" w:eastAsia="zh-CN"/>
              </w:rPr>
              <w:t>1</w:t>
            </w:r>
            <w:r>
              <w:rPr>
                <w:rFonts w:hint="eastAsia" w:ascii="仿宋_GB2312" w:hAnsi="仿宋_GB2312" w:eastAsia="仿宋_GB2312" w:cs="仿宋_GB2312"/>
                <w:color w:val="auto"/>
                <w:sz w:val="24"/>
                <w:szCs w:val="24"/>
                <w:highlight w:val="none"/>
              </w:rPr>
              <w:t>年内），因公路工程（含附属设施）质量、安全、履约或招标投标问题等原因被：</w:t>
            </w:r>
          </w:p>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（1）交通运输部通报批评的，扣 </w:t>
            </w:r>
            <w:r>
              <w:rPr>
                <w:rFonts w:hint="eastAsia" w:ascii="仿宋_GB2312" w:hAnsi="仿宋_GB2312" w:eastAsia="仿宋_GB2312" w:cs="仿宋_GB2312"/>
                <w:color w:val="auto"/>
                <w:sz w:val="24"/>
                <w:szCs w:val="24"/>
                <w:highlight w:val="none"/>
                <w:lang w:val="en-US" w:eastAsia="zh-CN"/>
              </w:rPr>
              <w:t>5.0</w:t>
            </w:r>
            <w:r>
              <w:rPr>
                <w:rFonts w:hint="eastAsia" w:ascii="仿宋_GB2312" w:hAnsi="仿宋_GB2312" w:eastAsia="仿宋_GB2312" w:cs="仿宋_GB2312"/>
                <w:color w:val="auto"/>
                <w:sz w:val="24"/>
                <w:szCs w:val="24"/>
                <w:highlight w:val="none"/>
              </w:rPr>
              <w:t>分/次；</w:t>
            </w:r>
          </w:p>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（2）广东省交通运输厅通报批评的，扣 </w:t>
            </w:r>
            <w:r>
              <w:rPr>
                <w:rFonts w:hint="eastAsia" w:ascii="仿宋_GB2312" w:hAnsi="仿宋_GB2312" w:eastAsia="仿宋_GB2312" w:cs="仿宋_GB2312"/>
                <w:color w:val="auto"/>
                <w:sz w:val="24"/>
                <w:szCs w:val="24"/>
                <w:highlight w:val="none"/>
                <w:lang w:val="en-US" w:eastAsia="zh-CN"/>
              </w:rPr>
              <w:t>4</w:t>
            </w:r>
            <w:r>
              <w:rPr>
                <w:rFonts w:hint="eastAsia" w:ascii="仿宋_GB2312" w:hAnsi="仿宋_GB2312" w:eastAsia="仿宋_GB2312" w:cs="仿宋_GB2312"/>
                <w:color w:val="auto"/>
                <w:sz w:val="24"/>
                <w:szCs w:val="24"/>
                <w:highlight w:val="none"/>
              </w:rPr>
              <w:t xml:space="preserve"> 分/次；</w:t>
            </w:r>
          </w:p>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（3）项目所在地地市级交通运输局（委）、本项目招标人或招标人上级管理单位通报批评的，扣 </w:t>
            </w:r>
            <w:r>
              <w:rPr>
                <w:rFonts w:hint="eastAsia" w:ascii="仿宋_GB2312" w:hAnsi="仿宋_GB2312" w:eastAsia="仿宋_GB2312" w:cs="仿宋_GB2312"/>
                <w:color w:val="auto"/>
                <w:sz w:val="24"/>
                <w:szCs w:val="24"/>
                <w:highlight w:val="none"/>
                <w:lang w:val="en-US" w:eastAsia="zh-CN"/>
              </w:rPr>
              <w:t>1</w:t>
            </w:r>
            <w:r>
              <w:rPr>
                <w:rFonts w:hint="eastAsia" w:ascii="仿宋_GB2312" w:hAnsi="仿宋_GB2312" w:eastAsia="仿宋_GB2312" w:cs="仿宋_GB2312"/>
                <w:color w:val="auto"/>
                <w:sz w:val="24"/>
                <w:szCs w:val="24"/>
                <w:highlight w:val="none"/>
              </w:rPr>
              <w:t xml:space="preserve"> 分/次；</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同一事项同时被多个部门通报批评只按最高的扣分计算 1 次。如果扣完本项分值，可以从总分中扣。</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p>
        </w:tc>
      </w:tr>
    </w:tbl>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p>
      <w:pPr>
        <w:rPr>
          <w:rFonts w:hint="eastAsia" w:ascii="仿宋" w:hAnsi="仿宋" w:eastAsia="仿宋" w:cs="仿宋"/>
          <w:color w:val="auto"/>
          <w:szCs w:val="24"/>
          <w:highlight w:val="none"/>
        </w:rPr>
      </w:pPr>
    </w:p>
    <w:tbl>
      <w:tblPr>
        <w:tblStyle w:val="4"/>
        <w:tblW w:w="10055" w:type="dxa"/>
        <w:tblInd w:w="-31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2"/>
        <w:gridCol w:w="960"/>
        <w:gridCol w:w="965"/>
        <w:gridCol w:w="1265"/>
        <w:gridCol w:w="660"/>
        <w:gridCol w:w="546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83" w:hRule="atLeast"/>
        </w:trPr>
        <w:tc>
          <w:tcPr>
            <w:tcW w:w="10055" w:type="dxa"/>
            <w:gridSpan w:val="6"/>
            <w:vAlign w:val="center"/>
          </w:tcPr>
          <w:p>
            <w:pPr>
              <w:jc w:val="center"/>
              <w:rPr>
                <w:rFonts w:hint="eastAsia" w:ascii="仿宋" w:hAnsi="仿宋" w:eastAsia="仿宋" w:cs="仿宋"/>
                <w:color w:val="auto"/>
                <w:sz w:val="24"/>
                <w:szCs w:val="24"/>
                <w:highlight w:val="none"/>
                <w:lang w:eastAsia="zh-CN"/>
              </w:rPr>
            </w:pPr>
            <w:r>
              <w:rPr>
                <w:rFonts w:hint="eastAsia" w:ascii="仿宋" w:hAnsi="仿宋" w:eastAsia="仿宋" w:cs="仿宋"/>
                <w:b/>
                <w:bCs/>
                <w:color w:val="auto"/>
                <w:sz w:val="24"/>
                <w:szCs w:val="24"/>
                <w:highlight w:val="none"/>
                <w:lang w:eastAsia="zh-CN"/>
              </w:rPr>
              <w:t>适用第</w:t>
            </w:r>
            <w:r>
              <w:rPr>
                <w:rFonts w:hint="eastAsia" w:ascii="仿宋" w:hAnsi="仿宋" w:eastAsia="仿宋" w:cs="仿宋"/>
                <w:b/>
                <w:bCs/>
                <w:color w:val="auto"/>
                <w:sz w:val="24"/>
                <w:szCs w:val="24"/>
                <w:highlight w:val="none"/>
                <w:lang w:val="en-US" w:eastAsia="zh-CN"/>
              </w:rPr>
              <w:t>2、3标段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83" w:hRule="atLeast"/>
        </w:trPr>
        <w:tc>
          <w:tcPr>
            <w:tcW w:w="4592" w:type="dxa"/>
            <w:gridSpan w:val="5"/>
            <w:vAlign w:val="center"/>
          </w:tcPr>
          <w:p>
            <w:pPr>
              <w:spacing w:line="40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b/>
                <w:bCs/>
                <w:sz w:val="24"/>
                <w:szCs w:val="24"/>
                <w:highlight w:val="none"/>
              </w:rPr>
              <w:t>评分因素与权重分值</w:t>
            </w:r>
          </w:p>
        </w:tc>
        <w:tc>
          <w:tcPr>
            <w:tcW w:w="5463" w:type="dxa"/>
            <w:vMerge w:val="restart"/>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评分标准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5" w:hRule="atLeast"/>
        </w:trPr>
        <w:tc>
          <w:tcPr>
            <w:tcW w:w="742" w:type="dxa"/>
            <w:vAlign w:val="center"/>
          </w:tcPr>
          <w:p>
            <w:pPr>
              <w:spacing w:line="40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条款号</w:t>
            </w:r>
          </w:p>
        </w:tc>
        <w:tc>
          <w:tcPr>
            <w:tcW w:w="960"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评分</w:t>
            </w:r>
          </w:p>
          <w:p>
            <w:pPr>
              <w:spacing w:line="40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因素</w:t>
            </w:r>
          </w:p>
        </w:tc>
        <w:tc>
          <w:tcPr>
            <w:tcW w:w="965" w:type="dxa"/>
            <w:vAlign w:val="center"/>
          </w:tcPr>
          <w:p>
            <w:pPr>
              <w:spacing w:line="40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评分因素权重分值</w:t>
            </w:r>
          </w:p>
        </w:tc>
        <w:tc>
          <w:tcPr>
            <w:tcW w:w="1265" w:type="dxa"/>
            <w:vAlign w:val="center"/>
          </w:tcPr>
          <w:p>
            <w:pPr>
              <w:spacing w:line="40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各评分因素细分项</w:t>
            </w:r>
          </w:p>
        </w:tc>
        <w:tc>
          <w:tcPr>
            <w:tcW w:w="660" w:type="dxa"/>
            <w:vAlign w:val="center"/>
          </w:tcPr>
          <w:p>
            <w:pPr>
              <w:spacing w:line="40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分值</w:t>
            </w:r>
          </w:p>
        </w:tc>
        <w:tc>
          <w:tcPr>
            <w:tcW w:w="5463" w:type="dxa"/>
            <w:vMerge w:val="continue"/>
            <w:vAlign w:val="center"/>
          </w:tcPr>
          <w:p>
            <w:pPr>
              <w:jc w:val="center"/>
              <w:rPr>
                <w:rFonts w:hint="eastAsia" w:ascii="仿宋" w:hAnsi="仿宋" w:eastAsia="仿宋" w:cs="仿宋"/>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78" w:hRule="atLeast"/>
        </w:trPr>
        <w:tc>
          <w:tcPr>
            <w:tcW w:w="742" w:type="dxa"/>
            <w:vMerge w:val="restart"/>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sz w:val="24"/>
                <w:szCs w:val="24"/>
                <w:highlight w:val="none"/>
              </w:rPr>
              <w:t>2.2.4（1）</w:t>
            </w:r>
          </w:p>
        </w:tc>
        <w:tc>
          <w:tcPr>
            <w:tcW w:w="960" w:type="dxa"/>
            <w:vMerge w:val="restart"/>
            <w:vAlign w:val="center"/>
          </w:tcPr>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施工组织设计</w:t>
            </w: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center"/>
              <w:rPr>
                <w:rFonts w:hint="eastAsia" w:ascii="仿宋" w:hAnsi="仿宋" w:eastAsia="仿宋" w:cs="仿宋"/>
                <w:sz w:val="24"/>
                <w:szCs w:val="24"/>
                <w:highlight w:val="none"/>
              </w:rPr>
            </w:pPr>
          </w:p>
          <w:p>
            <w:pPr>
              <w:spacing w:line="400" w:lineRule="exact"/>
              <w:jc w:val="both"/>
              <w:rPr>
                <w:rFonts w:hint="eastAsia" w:ascii="仿宋" w:hAnsi="仿宋" w:eastAsia="仿宋" w:cs="仿宋"/>
                <w:color w:val="auto"/>
                <w:sz w:val="24"/>
                <w:szCs w:val="24"/>
                <w:highlight w:val="none"/>
              </w:rPr>
            </w:pPr>
          </w:p>
        </w:tc>
        <w:tc>
          <w:tcPr>
            <w:tcW w:w="965" w:type="dxa"/>
            <w:vMerge w:val="restart"/>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sz w:val="24"/>
                <w:szCs w:val="24"/>
                <w:highlight w:val="none"/>
                <w:lang w:val="en-US" w:eastAsia="zh-CN"/>
              </w:rPr>
              <w:t>7</w:t>
            </w:r>
            <w:r>
              <w:rPr>
                <w:rFonts w:hint="eastAsia" w:ascii="仿宋" w:hAnsi="仿宋" w:eastAsia="仿宋" w:cs="仿宋"/>
                <w:sz w:val="24"/>
                <w:szCs w:val="24"/>
                <w:highlight w:val="none"/>
              </w:rPr>
              <w:t>分</w:t>
            </w:r>
          </w:p>
        </w:tc>
        <w:tc>
          <w:tcPr>
            <w:tcW w:w="1265" w:type="dxa"/>
            <w:vAlign w:val="center"/>
          </w:tcPr>
          <w:p>
            <w:pPr>
              <w:spacing w:line="400" w:lineRule="exact"/>
              <w:ind w:left="0" w:leftChars="0" w:right="0" w:rightChars="0" w:firstLine="0" w:firstLineChars="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工期保证</w:t>
            </w:r>
          </w:p>
          <w:p>
            <w:pPr>
              <w:spacing w:line="400" w:lineRule="exact"/>
              <w:ind w:left="0" w:leftChars="0" w:right="0" w:righ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sz w:val="24"/>
                <w:szCs w:val="24"/>
                <w:highlight w:val="none"/>
              </w:rPr>
              <w:t>体系及保证措施</w:t>
            </w:r>
          </w:p>
        </w:tc>
        <w:tc>
          <w:tcPr>
            <w:tcW w:w="660"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分</w:t>
            </w:r>
          </w:p>
        </w:tc>
        <w:tc>
          <w:tcPr>
            <w:tcW w:w="5463" w:type="dxa"/>
            <w:vAlign w:val="center"/>
          </w:tcPr>
          <w:p>
            <w:pPr>
              <w:spacing w:line="400" w:lineRule="exact"/>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1.进度控制措施得当，对本项目的工期重要性理解特别透彻，对地形地貌特征、重点工序、天气、关键设备故障、与其他承包人衔接、社会环境等问题有切实可行的应对或应急方案，计划科学合理，可操作性性高，得 </w:t>
            </w:r>
            <w:r>
              <w:rPr>
                <w:rFonts w:hint="eastAsia" w:ascii="仿宋" w:hAnsi="仿宋" w:eastAsia="仿宋" w:cs="仿宋"/>
                <w:sz w:val="24"/>
                <w:szCs w:val="24"/>
                <w:highlight w:val="none"/>
                <w:lang w:val="en-US" w:eastAsia="zh-CN"/>
              </w:rPr>
              <w:t>2.4</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分；</w:t>
            </w:r>
          </w:p>
          <w:p>
            <w:pPr>
              <w:spacing w:line="400" w:lineRule="exact"/>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2.工期保证体系及保证措施基本可行，内容较为充实、全面的，得</w:t>
            </w:r>
            <w:r>
              <w:rPr>
                <w:rFonts w:hint="eastAsia" w:ascii="仿宋" w:hAnsi="仿宋" w:eastAsia="仿宋" w:cs="仿宋"/>
                <w:sz w:val="24"/>
                <w:szCs w:val="24"/>
                <w:highlight w:val="none"/>
                <w:lang w:val="en-US" w:eastAsia="zh-CN"/>
              </w:rPr>
              <w:t>1.8</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2.4</w:t>
            </w:r>
            <w:r>
              <w:rPr>
                <w:rFonts w:hint="eastAsia" w:ascii="仿宋" w:hAnsi="仿宋" w:eastAsia="仿宋" w:cs="仿宋"/>
                <w:sz w:val="24"/>
                <w:szCs w:val="24"/>
                <w:highlight w:val="none"/>
              </w:rPr>
              <w:t xml:space="preserve">分； </w:t>
            </w:r>
          </w:p>
          <w:p>
            <w:pPr>
              <w:spacing w:line="400" w:lineRule="exact"/>
              <w:jc w:val="left"/>
              <w:rPr>
                <w:rFonts w:hint="eastAsia" w:ascii="仿宋" w:hAnsi="仿宋" w:eastAsia="仿宋" w:cs="仿宋"/>
                <w:color w:val="auto"/>
                <w:sz w:val="24"/>
                <w:szCs w:val="24"/>
                <w:highlight w:val="none"/>
              </w:rPr>
            </w:pPr>
            <w:r>
              <w:rPr>
                <w:rFonts w:hint="eastAsia" w:ascii="仿宋" w:hAnsi="仿宋" w:eastAsia="仿宋" w:cs="仿宋"/>
                <w:sz w:val="24"/>
                <w:szCs w:val="24"/>
                <w:highlight w:val="none"/>
              </w:rPr>
              <w:t>3.</w:t>
            </w:r>
            <w:r>
              <w:rPr>
                <w:rFonts w:hint="eastAsia" w:ascii="仿宋" w:hAnsi="仿宋" w:eastAsia="仿宋" w:cs="仿宋"/>
                <w:kern w:val="0"/>
                <w:sz w:val="24"/>
                <w:szCs w:val="24"/>
                <w:highlight w:val="none"/>
              </w:rPr>
              <w:t>一般但不被评定为不响应的，</w:t>
            </w:r>
            <w:r>
              <w:rPr>
                <w:rFonts w:hint="eastAsia" w:ascii="仿宋" w:hAnsi="仿宋" w:eastAsia="仿宋" w:cs="仿宋"/>
                <w:sz w:val="24"/>
                <w:szCs w:val="24"/>
                <w:highlight w:val="none"/>
              </w:rPr>
              <w:t>起评分</w:t>
            </w:r>
            <w:r>
              <w:rPr>
                <w:rFonts w:hint="eastAsia" w:ascii="仿宋" w:hAnsi="仿宋" w:eastAsia="仿宋" w:cs="仿宋"/>
                <w:sz w:val="24"/>
                <w:szCs w:val="24"/>
                <w:highlight w:val="none"/>
                <w:lang w:val="en-US" w:eastAsia="zh-CN"/>
              </w:rPr>
              <w:t>1.8</w:t>
            </w:r>
            <w:r>
              <w:rPr>
                <w:rFonts w:hint="eastAsia" w:ascii="仿宋" w:hAnsi="仿宋" w:eastAsia="仿宋" w:cs="仿宋"/>
                <w:sz w:val="24"/>
                <w:szCs w:val="24"/>
                <w:highlight w:val="none"/>
              </w:rPr>
              <w:t>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685" w:hRule="atLeast"/>
        </w:trPr>
        <w:tc>
          <w:tcPr>
            <w:tcW w:w="742" w:type="dxa"/>
            <w:vMerge w:val="continue"/>
            <w:vAlign w:val="top"/>
          </w:tcPr>
          <w:p>
            <w:pPr>
              <w:spacing w:line="400" w:lineRule="exact"/>
              <w:jc w:val="center"/>
              <w:rPr>
                <w:rFonts w:hint="eastAsia" w:ascii="仿宋" w:hAnsi="仿宋" w:eastAsia="仿宋" w:cs="仿宋"/>
                <w:color w:val="auto"/>
                <w:sz w:val="24"/>
                <w:szCs w:val="24"/>
                <w:highlight w:val="none"/>
              </w:rPr>
            </w:pPr>
          </w:p>
        </w:tc>
        <w:tc>
          <w:tcPr>
            <w:tcW w:w="960" w:type="dxa"/>
            <w:vMerge w:val="continue"/>
            <w:vAlign w:val="top"/>
          </w:tcPr>
          <w:p>
            <w:pPr>
              <w:spacing w:line="400" w:lineRule="exact"/>
              <w:jc w:val="center"/>
              <w:rPr>
                <w:rFonts w:hint="eastAsia" w:ascii="仿宋" w:hAnsi="仿宋" w:eastAsia="仿宋" w:cs="仿宋"/>
                <w:color w:val="auto"/>
                <w:sz w:val="24"/>
                <w:szCs w:val="24"/>
                <w:highlight w:val="none"/>
              </w:rPr>
            </w:pPr>
          </w:p>
        </w:tc>
        <w:tc>
          <w:tcPr>
            <w:tcW w:w="965" w:type="dxa"/>
            <w:vMerge w:val="continue"/>
            <w:vAlign w:val="top"/>
          </w:tcPr>
          <w:p>
            <w:pPr>
              <w:spacing w:line="400" w:lineRule="exact"/>
              <w:jc w:val="center"/>
              <w:rPr>
                <w:rFonts w:hint="eastAsia" w:ascii="仿宋" w:hAnsi="仿宋" w:eastAsia="仿宋" w:cs="仿宋"/>
                <w:color w:val="auto"/>
                <w:sz w:val="24"/>
                <w:szCs w:val="24"/>
                <w:highlight w:val="none"/>
              </w:rPr>
            </w:pPr>
          </w:p>
        </w:tc>
        <w:tc>
          <w:tcPr>
            <w:tcW w:w="1265" w:type="dxa"/>
            <w:vAlign w:val="center"/>
          </w:tcPr>
          <w:p>
            <w:pPr>
              <w:spacing w:line="400" w:lineRule="exact"/>
              <w:ind w:left="0" w:leftChars="0" w:right="0" w:rightChars="0" w:firstLine="0" w:firstLineChars="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质量、安全保证体系及保证措施</w:t>
            </w:r>
          </w:p>
          <w:p>
            <w:pPr>
              <w:spacing w:line="400" w:lineRule="exact"/>
              <w:ind w:left="0" w:leftChars="0" w:right="0" w:rightChars="0" w:firstLine="0" w:firstLineChars="0"/>
              <w:jc w:val="center"/>
              <w:rPr>
                <w:rFonts w:hint="eastAsia" w:ascii="仿宋" w:hAnsi="仿宋" w:eastAsia="仿宋" w:cs="仿宋"/>
                <w:sz w:val="24"/>
                <w:szCs w:val="24"/>
                <w:highlight w:val="none"/>
              </w:rPr>
            </w:pPr>
          </w:p>
          <w:p>
            <w:pPr>
              <w:spacing w:line="400" w:lineRule="exact"/>
              <w:ind w:left="0" w:leftChars="0" w:right="0" w:rightChars="0" w:firstLine="0" w:firstLineChars="0"/>
              <w:jc w:val="center"/>
              <w:rPr>
                <w:rFonts w:hint="eastAsia" w:ascii="仿宋" w:hAnsi="仿宋" w:eastAsia="仿宋" w:cs="仿宋"/>
                <w:sz w:val="24"/>
                <w:szCs w:val="24"/>
                <w:highlight w:val="none"/>
              </w:rPr>
            </w:pPr>
          </w:p>
          <w:p>
            <w:pPr>
              <w:spacing w:line="400" w:lineRule="exact"/>
              <w:ind w:left="0" w:leftChars="0" w:right="0" w:rightChars="0" w:firstLine="0" w:firstLineChars="0"/>
              <w:jc w:val="center"/>
              <w:rPr>
                <w:rFonts w:hint="eastAsia" w:ascii="仿宋" w:hAnsi="仿宋" w:eastAsia="仿宋" w:cs="仿宋"/>
                <w:sz w:val="24"/>
                <w:szCs w:val="24"/>
                <w:highlight w:val="none"/>
              </w:rPr>
            </w:pPr>
          </w:p>
          <w:p>
            <w:pPr>
              <w:spacing w:line="400" w:lineRule="exact"/>
              <w:ind w:left="0" w:leftChars="0" w:right="0" w:rightChars="0" w:firstLine="0" w:firstLineChars="0"/>
              <w:jc w:val="center"/>
              <w:rPr>
                <w:rFonts w:hint="eastAsia" w:ascii="仿宋" w:hAnsi="仿宋" w:eastAsia="仿宋" w:cs="仿宋"/>
                <w:sz w:val="24"/>
                <w:szCs w:val="24"/>
                <w:highlight w:val="none"/>
              </w:rPr>
            </w:pPr>
          </w:p>
          <w:p>
            <w:pPr>
              <w:spacing w:line="400" w:lineRule="exact"/>
              <w:ind w:left="0" w:leftChars="0" w:right="0" w:rightChars="0" w:firstLine="0" w:firstLineChars="0"/>
              <w:jc w:val="center"/>
              <w:rPr>
                <w:rFonts w:hint="eastAsia" w:ascii="仿宋" w:hAnsi="仿宋" w:eastAsia="仿宋" w:cs="仿宋"/>
                <w:sz w:val="24"/>
                <w:szCs w:val="24"/>
                <w:highlight w:val="none"/>
              </w:rPr>
            </w:pPr>
          </w:p>
          <w:p>
            <w:pPr>
              <w:spacing w:line="400" w:lineRule="exact"/>
              <w:ind w:left="0" w:leftChars="0" w:right="0" w:rightChars="0" w:firstLine="0" w:firstLineChars="0"/>
              <w:jc w:val="center"/>
              <w:rPr>
                <w:rFonts w:hint="eastAsia" w:ascii="仿宋" w:hAnsi="仿宋" w:eastAsia="仿宋" w:cs="仿宋"/>
                <w:sz w:val="24"/>
                <w:szCs w:val="24"/>
                <w:highlight w:val="none"/>
              </w:rPr>
            </w:pPr>
          </w:p>
          <w:p>
            <w:pPr>
              <w:spacing w:line="400" w:lineRule="exact"/>
              <w:ind w:left="0" w:leftChars="0" w:right="0" w:rightChars="0" w:firstLine="0" w:firstLineChars="0"/>
              <w:jc w:val="both"/>
              <w:rPr>
                <w:rFonts w:hint="eastAsia" w:ascii="仿宋" w:hAnsi="仿宋" w:eastAsia="仿宋" w:cs="仿宋"/>
                <w:sz w:val="24"/>
                <w:szCs w:val="24"/>
                <w:highlight w:val="none"/>
              </w:rPr>
            </w:pPr>
          </w:p>
        </w:tc>
        <w:tc>
          <w:tcPr>
            <w:tcW w:w="660"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分</w:t>
            </w:r>
          </w:p>
        </w:tc>
        <w:tc>
          <w:tcPr>
            <w:tcW w:w="5463" w:type="dxa"/>
            <w:vAlign w:val="center"/>
          </w:tcPr>
          <w:p>
            <w:pPr>
              <w:spacing w:line="400" w:lineRule="exact"/>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1.对本项目质量及安全控制有透彻的认识，对施工过程中可能发生的各种质量和安全问题有深刻的认识和合理的预见，并有相应的应对措施，应对措施应科学、充分，能有效处理各种突发问题的，得</w:t>
            </w:r>
            <w:r>
              <w:rPr>
                <w:rFonts w:hint="eastAsia" w:ascii="仿宋" w:hAnsi="仿宋" w:eastAsia="仿宋" w:cs="仿宋"/>
                <w:sz w:val="24"/>
                <w:szCs w:val="24"/>
                <w:highlight w:val="none"/>
                <w:lang w:val="en-US" w:eastAsia="zh-CN"/>
              </w:rPr>
              <w:t>2.4</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 xml:space="preserve">分； </w:t>
            </w:r>
          </w:p>
          <w:p>
            <w:pPr>
              <w:spacing w:line="400" w:lineRule="exact"/>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2.对本项目质量及安全控制有一定的认识， 基本能合理的预见施工过程中可能发生的各种质量和安全问题</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并有相应的应对措施，应对措施较为科学</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 xml:space="preserve">充分，基本能有效处理各种质量和安全问题的，得 </w:t>
            </w:r>
            <w:r>
              <w:rPr>
                <w:rFonts w:hint="eastAsia" w:ascii="仿宋" w:hAnsi="仿宋" w:eastAsia="仿宋" w:cs="仿宋"/>
                <w:sz w:val="24"/>
                <w:szCs w:val="24"/>
                <w:highlight w:val="none"/>
                <w:lang w:val="en-US" w:eastAsia="zh-CN"/>
              </w:rPr>
              <w:t>1.8</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2.4</w:t>
            </w:r>
            <w:r>
              <w:rPr>
                <w:rFonts w:hint="eastAsia" w:ascii="仿宋" w:hAnsi="仿宋" w:eastAsia="仿宋" w:cs="仿宋"/>
                <w:sz w:val="24"/>
                <w:szCs w:val="24"/>
                <w:highlight w:val="none"/>
              </w:rPr>
              <w:t xml:space="preserve">分； </w:t>
            </w:r>
          </w:p>
          <w:p>
            <w:pPr>
              <w:spacing w:line="400" w:lineRule="exact"/>
              <w:jc w:val="left"/>
              <w:rPr>
                <w:rFonts w:hint="eastAsia" w:ascii="仿宋" w:hAnsi="仿宋" w:eastAsia="仿宋" w:cs="仿宋"/>
                <w:color w:val="auto"/>
                <w:sz w:val="24"/>
                <w:szCs w:val="24"/>
                <w:highlight w:val="none"/>
              </w:rPr>
            </w:pPr>
            <w:r>
              <w:rPr>
                <w:rFonts w:hint="eastAsia" w:ascii="仿宋" w:hAnsi="仿宋" w:eastAsia="仿宋" w:cs="仿宋"/>
                <w:sz w:val="24"/>
                <w:szCs w:val="24"/>
                <w:highlight w:val="none"/>
              </w:rPr>
              <w:t>3.</w:t>
            </w:r>
            <w:r>
              <w:rPr>
                <w:rFonts w:hint="eastAsia" w:ascii="仿宋" w:hAnsi="仿宋" w:eastAsia="仿宋" w:cs="仿宋"/>
                <w:kern w:val="0"/>
                <w:sz w:val="24"/>
                <w:szCs w:val="24"/>
                <w:highlight w:val="none"/>
              </w:rPr>
              <w:t>一般但不被评定为不响应的，</w:t>
            </w:r>
            <w:r>
              <w:rPr>
                <w:rFonts w:hint="eastAsia" w:ascii="仿宋" w:hAnsi="仿宋" w:eastAsia="仿宋" w:cs="仿宋"/>
                <w:sz w:val="24"/>
                <w:szCs w:val="24"/>
                <w:highlight w:val="none"/>
              </w:rPr>
              <w:t>起评分</w:t>
            </w:r>
            <w:r>
              <w:rPr>
                <w:rFonts w:hint="eastAsia" w:ascii="仿宋" w:hAnsi="仿宋" w:eastAsia="仿宋" w:cs="仿宋"/>
                <w:sz w:val="24"/>
                <w:szCs w:val="24"/>
                <w:highlight w:val="none"/>
                <w:lang w:val="en-US" w:eastAsia="zh-CN"/>
              </w:rPr>
              <w:t>1.8</w:t>
            </w:r>
            <w:r>
              <w:rPr>
                <w:rFonts w:hint="eastAsia" w:ascii="仿宋" w:hAnsi="仿宋" w:eastAsia="仿宋" w:cs="仿宋"/>
                <w:sz w:val="24"/>
                <w:szCs w:val="24"/>
                <w:highlight w:val="none"/>
              </w:rPr>
              <w:t>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78" w:hRule="atLeast"/>
        </w:trPr>
        <w:tc>
          <w:tcPr>
            <w:tcW w:w="742" w:type="dxa"/>
            <w:vMerge w:val="continue"/>
            <w:vAlign w:val="top"/>
          </w:tcPr>
          <w:p>
            <w:pPr>
              <w:spacing w:line="400" w:lineRule="exact"/>
              <w:jc w:val="center"/>
              <w:rPr>
                <w:rFonts w:hint="eastAsia" w:ascii="仿宋" w:hAnsi="仿宋" w:eastAsia="仿宋" w:cs="仿宋"/>
                <w:color w:val="auto"/>
                <w:sz w:val="24"/>
                <w:szCs w:val="24"/>
                <w:highlight w:val="none"/>
              </w:rPr>
            </w:pPr>
          </w:p>
        </w:tc>
        <w:tc>
          <w:tcPr>
            <w:tcW w:w="960" w:type="dxa"/>
            <w:vMerge w:val="continue"/>
            <w:vAlign w:val="top"/>
          </w:tcPr>
          <w:p>
            <w:pPr>
              <w:spacing w:line="400" w:lineRule="exact"/>
              <w:jc w:val="center"/>
              <w:rPr>
                <w:rFonts w:hint="eastAsia" w:ascii="仿宋" w:hAnsi="仿宋" w:eastAsia="仿宋" w:cs="仿宋"/>
                <w:color w:val="auto"/>
                <w:sz w:val="24"/>
                <w:szCs w:val="24"/>
                <w:highlight w:val="none"/>
              </w:rPr>
            </w:pPr>
          </w:p>
        </w:tc>
        <w:tc>
          <w:tcPr>
            <w:tcW w:w="965" w:type="dxa"/>
            <w:vMerge w:val="continue"/>
            <w:vAlign w:val="top"/>
          </w:tcPr>
          <w:p>
            <w:pPr>
              <w:spacing w:line="400" w:lineRule="exact"/>
              <w:jc w:val="center"/>
              <w:rPr>
                <w:rFonts w:hint="eastAsia" w:ascii="仿宋" w:hAnsi="仿宋" w:eastAsia="仿宋" w:cs="仿宋"/>
                <w:color w:val="auto"/>
                <w:sz w:val="24"/>
                <w:szCs w:val="24"/>
                <w:highlight w:val="none"/>
              </w:rPr>
            </w:pPr>
          </w:p>
        </w:tc>
        <w:tc>
          <w:tcPr>
            <w:tcW w:w="1265" w:type="dxa"/>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环境保护、文明施工</w:t>
            </w:r>
          </w:p>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保证体系</w:t>
            </w:r>
          </w:p>
          <w:p>
            <w:pPr>
              <w:spacing w:line="400" w:lineRule="exact"/>
              <w:rPr>
                <w:rFonts w:hint="eastAsia" w:ascii="仿宋" w:hAnsi="仿宋" w:eastAsia="仿宋" w:cs="仿宋"/>
                <w:color w:val="auto"/>
                <w:sz w:val="24"/>
                <w:szCs w:val="24"/>
                <w:highlight w:val="none"/>
              </w:rPr>
            </w:pPr>
            <w:r>
              <w:rPr>
                <w:rFonts w:hint="eastAsia" w:ascii="仿宋" w:hAnsi="仿宋" w:eastAsia="仿宋" w:cs="仿宋"/>
                <w:sz w:val="24"/>
                <w:szCs w:val="24"/>
                <w:highlight w:val="none"/>
              </w:rPr>
              <w:t>及措施</w:t>
            </w:r>
          </w:p>
        </w:tc>
        <w:tc>
          <w:tcPr>
            <w:tcW w:w="660" w:type="dxa"/>
            <w:vAlign w:val="center"/>
          </w:tcPr>
          <w:p>
            <w:pPr>
              <w:spacing w:line="4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分</w:t>
            </w:r>
          </w:p>
        </w:tc>
        <w:tc>
          <w:tcPr>
            <w:tcW w:w="5463" w:type="dxa"/>
            <w:vAlign w:val="center"/>
          </w:tcPr>
          <w:p>
            <w:pPr>
              <w:spacing w:line="400" w:lineRule="exact"/>
              <w:jc w:val="left"/>
              <w:rPr>
                <w:rFonts w:hint="eastAsia" w:ascii="仿宋" w:hAnsi="仿宋" w:eastAsia="仿宋" w:cs="仿宋"/>
                <w:kern w:val="0"/>
                <w:sz w:val="24"/>
                <w:szCs w:val="24"/>
                <w:highlight w:val="none"/>
              </w:rPr>
            </w:pPr>
            <w:r>
              <w:rPr>
                <w:rFonts w:hint="eastAsia" w:ascii="仿宋" w:hAnsi="仿宋" w:eastAsia="仿宋" w:cs="仿宋"/>
                <w:sz w:val="24"/>
                <w:szCs w:val="24"/>
                <w:highlight w:val="none"/>
              </w:rPr>
              <w:t>1.</w:t>
            </w:r>
            <w:r>
              <w:rPr>
                <w:rFonts w:hint="eastAsia" w:ascii="仿宋" w:hAnsi="仿宋" w:eastAsia="仿宋" w:cs="仿宋"/>
                <w:kern w:val="0"/>
                <w:sz w:val="24"/>
                <w:szCs w:val="24"/>
                <w:highlight w:val="none"/>
              </w:rPr>
              <w:t>对本项目的环保及文明施工等工作有独到的见解，能制定科学的措施，施工做到符合环保的要求，对文明施工有相应的措施，能创造良好的施工环境的，</w:t>
            </w:r>
            <w:r>
              <w:rPr>
                <w:rFonts w:hint="eastAsia" w:ascii="仿宋" w:hAnsi="仿宋" w:eastAsia="仿宋" w:cs="仿宋"/>
                <w:sz w:val="24"/>
                <w:szCs w:val="24"/>
                <w:highlight w:val="none"/>
              </w:rPr>
              <w:t xml:space="preserve">得 </w:t>
            </w:r>
            <w:r>
              <w:rPr>
                <w:rFonts w:hint="eastAsia" w:ascii="仿宋" w:hAnsi="仿宋" w:eastAsia="仿宋" w:cs="仿宋"/>
                <w:sz w:val="24"/>
                <w:szCs w:val="24"/>
                <w:highlight w:val="none"/>
                <w:lang w:val="en-US" w:eastAsia="zh-CN"/>
              </w:rPr>
              <w:t>0.8</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1</w:t>
            </w:r>
            <w:r>
              <w:rPr>
                <w:rFonts w:hint="eastAsia" w:ascii="仿宋" w:hAnsi="仿宋" w:eastAsia="仿宋" w:cs="仿宋"/>
                <w:sz w:val="24"/>
                <w:szCs w:val="24"/>
                <w:highlight w:val="none"/>
              </w:rPr>
              <w:t xml:space="preserve">分； </w:t>
            </w:r>
          </w:p>
          <w:p>
            <w:pPr>
              <w:spacing w:line="400" w:lineRule="exact"/>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2.对工程环保及文明施工等工作制定有相关的措施</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基本能满足本项目环保及文明施工的要求的，得</w:t>
            </w:r>
            <w:r>
              <w:rPr>
                <w:rFonts w:hint="eastAsia" w:ascii="仿宋" w:hAnsi="仿宋" w:eastAsia="仿宋" w:cs="仿宋"/>
                <w:sz w:val="24"/>
                <w:szCs w:val="24"/>
                <w:highlight w:val="none"/>
                <w:lang w:val="en-US" w:eastAsia="zh-CN"/>
              </w:rPr>
              <w:t>0.6</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0.8</w:t>
            </w:r>
            <w:r>
              <w:rPr>
                <w:rFonts w:hint="eastAsia" w:ascii="仿宋" w:hAnsi="仿宋" w:eastAsia="仿宋" w:cs="仿宋"/>
                <w:sz w:val="24"/>
                <w:szCs w:val="24"/>
                <w:highlight w:val="none"/>
              </w:rPr>
              <w:t xml:space="preserve">分； </w:t>
            </w:r>
          </w:p>
          <w:p>
            <w:pPr>
              <w:spacing w:line="400" w:lineRule="exact"/>
              <w:jc w:val="left"/>
              <w:rPr>
                <w:rFonts w:hint="eastAsia" w:ascii="仿宋" w:hAnsi="仿宋" w:eastAsia="仿宋" w:cs="仿宋"/>
                <w:color w:val="auto"/>
                <w:sz w:val="24"/>
                <w:szCs w:val="24"/>
                <w:highlight w:val="none"/>
              </w:rPr>
            </w:pPr>
            <w:r>
              <w:rPr>
                <w:rFonts w:hint="eastAsia" w:ascii="仿宋" w:hAnsi="仿宋" w:eastAsia="仿宋" w:cs="仿宋"/>
                <w:sz w:val="24"/>
                <w:szCs w:val="24"/>
                <w:highlight w:val="none"/>
              </w:rPr>
              <w:t>3.</w:t>
            </w:r>
            <w:r>
              <w:rPr>
                <w:rFonts w:hint="eastAsia" w:ascii="仿宋" w:hAnsi="仿宋" w:eastAsia="仿宋" w:cs="仿宋"/>
                <w:kern w:val="0"/>
                <w:sz w:val="24"/>
                <w:szCs w:val="24"/>
                <w:highlight w:val="none"/>
              </w:rPr>
              <w:t>一般但不被评定为不响应的，</w:t>
            </w:r>
            <w:r>
              <w:rPr>
                <w:rFonts w:hint="eastAsia" w:ascii="仿宋" w:hAnsi="仿宋" w:eastAsia="仿宋" w:cs="仿宋"/>
                <w:sz w:val="24"/>
                <w:szCs w:val="24"/>
                <w:highlight w:val="none"/>
              </w:rPr>
              <w:t>起评分</w:t>
            </w:r>
            <w:r>
              <w:rPr>
                <w:rFonts w:hint="eastAsia" w:ascii="仿宋" w:hAnsi="仿宋" w:eastAsia="仿宋" w:cs="仿宋"/>
                <w:sz w:val="24"/>
                <w:szCs w:val="24"/>
                <w:highlight w:val="none"/>
                <w:lang w:val="en-US" w:eastAsia="zh-CN"/>
              </w:rPr>
              <w:t>0.6</w:t>
            </w:r>
            <w:r>
              <w:rPr>
                <w:rFonts w:hint="eastAsia" w:ascii="仿宋" w:hAnsi="仿宋" w:eastAsia="仿宋" w:cs="仿宋"/>
                <w:sz w:val="24"/>
                <w:szCs w:val="24"/>
                <w:highlight w:val="none"/>
              </w:rPr>
              <w:t>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88" w:hRule="atLeast"/>
        </w:trPr>
        <w:tc>
          <w:tcPr>
            <w:tcW w:w="742" w:type="dxa"/>
            <w:vAlign w:val="center"/>
          </w:tcPr>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2.2.4（</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w:t>
            </w:r>
          </w:p>
        </w:tc>
        <w:tc>
          <w:tcPr>
            <w:tcW w:w="960" w:type="dxa"/>
            <w:vAlign w:val="center"/>
          </w:tcPr>
          <w:p>
            <w:pP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评标价</w:t>
            </w:r>
          </w:p>
        </w:tc>
        <w:tc>
          <w:tcPr>
            <w:tcW w:w="965" w:type="dxa"/>
            <w:vAlign w:val="center"/>
          </w:tcPr>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80</w:t>
            </w:r>
            <w:r>
              <w:rPr>
                <w:rFonts w:hint="eastAsia" w:ascii="仿宋" w:hAnsi="仿宋" w:eastAsia="仿宋" w:cs="仿宋"/>
                <w:color w:val="auto"/>
                <w:sz w:val="24"/>
                <w:szCs w:val="24"/>
                <w:highlight w:val="none"/>
              </w:rPr>
              <w:t>分</w:t>
            </w:r>
          </w:p>
        </w:tc>
        <w:tc>
          <w:tcPr>
            <w:tcW w:w="1265" w:type="dxa"/>
            <w:vAlign w:val="center"/>
          </w:tcPr>
          <w:p>
            <w:pPr>
              <w:rPr>
                <w:rFonts w:hint="eastAsia" w:ascii="仿宋" w:hAnsi="仿宋" w:eastAsia="仿宋" w:cs="仿宋"/>
                <w:color w:val="auto"/>
                <w:sz w:val="24"/>
                <w:szCs w:val="24"/>
                <w:highlight w:val="none"/>
              </w:rPr>
            </w:pPr>
          </w:p>
        </w:tc>
        <w:tc>
          <w:tcPr>
            <w:tcW w:w="660" w:type="dxa"/>
            <w:vAlign w:val="center"/>
          </w:tcPr>
          <w:p>
            <w:pPr>
              <w:rPr>
                <w:rFonts w:hint="eastAsia" w:ascii="仿宋" w:hAnsi="仿宋" w:eastAsia="仿宋" w:cs="仿宋"/>
                <w:color w:val="auto"/>
                <w:sz w:val="24"/>
                <w:szCs w:val="24"/>
                <w:highlight w:val="none"/>
              </w:rPr>
            </w:pPr>
          </w:p>
        </w:tc>
        <w:tc>
          <w:tcPr>
            <w:tcW w:w="5463" w:type="dxa"/>
            <w:vAlign w:val="center"/>
          </w:tcPr>
          <w:p>
            <w:pPr>
              <w:snapToGrid w:val="0"/>
              <w:spacing w:line="4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标价分值的计算</w:t>
            </w:r>
            <w:r>
              <w:rPr>
                <w:rFonts w:hint="eastAsia" w:ascii="仿宋" w:hAnsi="仿宋" w:eastAsia="仿宋" w:cs="仿宋"/>
                <w:color w:val="auto"/>
                <w:sz w:val="24"/>
                <w:szCs w:val="24"/>
                <w:highlight w:val="none"/>
                <w:lang w:eastAsia="zh-CN"/>
              </w:rPr>
              <w:t>：</w:t>
            </w:r>
          </w:p>
          <w:p>
            <w:pPr>
              <w:snapToGrid w:val="0"/>
              <w:spacing w:line="4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当投标人的投标价等于D时得满分，每高于D一个百分点扣3分，每低于D一个百分点扣1分，中间值按比例内插。用公式表示如下：</w:t>
            </w:r>
          </w:p>
          <w:p>
            <w:pPr>
              <w:snapToGrid w:val="0"/>
              <w:spacing w:line="360" w:lineRule="atLeast"/>
              <w:jc w:val="center"/>
              <w:rPr>
                <w:rFonts w:hint="eastAsia" w:ascii="仿宋" w:hAnsi="仿宋" w:eastAsia="仿宋" w:cs="仿宋"/>
                <w:color w:val="auto"/>
                <w:sz w:val="24"/>
                <w:szCs w:val="21"/>
                <w:highlight w:val="none"/>
              </w:rPr>
            </w:pPr>
            <w:r>
              <w:rPr>
                <w:rFonts w:hint="eastAsia" w:ascii="仿宋" w:hAnsi="仿宋" w:eastAsia="仿宋" w:cs="仿宋"/>
                <w:color w:val="auto"/>
                <w:position w:val="-24"/>
                <w:sz w:val="24"/>
                <w:szCs w:val="21"/>
                <w:highlight w:val="none"/>
              </w:rPr>
              <w:object>
                <v:shape id="_x0000_i1033" o:spt="75" type="#_x0000_t75" style="height:38.85pt;width:156.55pt;" o:ole="t" filled="f" o:preferrelative="t" stroked="f" coordsize="21600,21600">
                  <v:path/>
                  <v:fill on="f" focussize="0,0"/>
                  <v:stroke on="f"/>
                  <v:imagedata r:id="rId5" o:title=""/>
                  <o:lock v:ext="edit" grouping="f" rotation="f" text="f" aspectratio="t"/>
                  <w10:wrap type="none"/>
                  <w10:anchorlock/>
                </v:shape>
                <o:OLEObject Type="Embed" ProgID="Equation.3" ShapeID="_x0000_i1033" DrawAspect="Content" ObjectID="_1468075733" r:id="rId17">
                  <o:LockedField>false</o:LockedField>
                </o:OLEObject>
              </w:object>
            </w:r>
          </w:p>
          <w:p>
            <w:pPr>
              <w:snapToGrid w:val="0"/>
              <w:spacing w:line="4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式中：</w:t>
            </w:r>
            <w:r>
              <w:rPr>
                <w:rFonts w:hint="eastAsia" w:ascii="仿宋" w:hAnsi="仿宋" w:eastAsia="仿宋" w:cs="仿宋"/>
                <w:color w:val="auto"/>
                <w:sz w:val="24"/>
                <w:szCs w:val="24"/>
                <w:highlight w:val="none"/>
              </w:rPr>
              <w:object>
                <v:shape id="_x0000_i1034" o:spt="75" type="#_x0000_t75" style="height:18pt;width:13pt;" o:ole="t" filled="f" o:preferrelative="t" stroked="f" coordsize="21600,21600">
                  <v:path/>
                  <v:fill on="f" focussize="0,0"/>
                  <v:stroke on="f"/>
                  <v:imagedata r:id="rId7" o:title=""/>
                  <o:lock v:ext="edit" grouping="f" rotation="f" text="f" aspectratio="t"/>
                  <w10:wrap type="none"/>
                  <w10:anchorlock/>
                </v:shape>
                <o:OLEObject Type="Embed" ProgID="Equation.3" ShapeID="_x0000_i1034" DrawAspect="Content" ObjectID="_1468075734" r:id="rId18">
                  <o:LockedField>false</o:LockedField>
                </o:OLEObject>
              </w:object>
            </w:r>
            <w:r>
              <w:rPr>
                <w:rFonts w:hint="eastAsia" w:ascii="仿宋" w:hAnsi="仿宋" w:eastAsia="仿宋" w:cs="仿宋"/>
                <w:color w:val="auto"/>
                <w:sz w:val="24"/>
                <w:szCs w:val="24"/>
                <w:highlight w:val="none"/>
              </w:rPr>
              <w:t>—投标人投标价得分（</w:t>
            </w:r>
            <w:r>
              <w:rPr>
                <w:rFonts w:hint="eastAsia" w:ascii="仿宋" w:hAnsi="仿宋" w:eastAsia="仿宋" w:cs="仿宋"/>
                <w:b/>
                <w:bCs/>
                <w:color w:val="auto"/>
                <w:sz w:val="24"/>
                <w:szCs w:val="24"/>
                <w:highlight w:val="none"/>
              </w:rPr>
              <w:t>精确到小数点后</w:t>
            </w:r>
            <w:r>
              <w:rPr>
                <w:rFonts w:hint="eastAsia" w:ascii="仿宋" w:hAnsi="仿宋" w:eastAsia="仿宋" w:cs="仿宋"/>
                <w:b/>
                <w:bCs/>
                <w:color w:val="auto"/>
                <w:sz w:val="24"/>
                <w:szCs w:val="24"/>
                <w:highlight w:val="none"/>
                <w:lang w:eastAsia="zh-CN"/>
              </w:rPr>
              <w:t>四</w:t>
            </w:r>
            <w:r>
              <w:rPr>
                <w:rFonts w:hint="eastAsia" w:ascii="仿宋" w:hAnsi="仿宋" w:eastAsia="仿宋" w:cs="仿宋"/>
                <w:b/>
                <w:bCs/>
                <w:color w:val="auto"/>
                <w:sz w:val="24"/>
                <w:szCs w:val="24"/>
                <w:highlight w:val="none"/>
              </w:rPr>
              <w:t>位）</w:t>
            </w:r>
            <w:r>
              <w:rPr>
                <w:rFonts w:hint="eastAsia" w:ascii="仿宋" w:hAnsi="仿宋" w:eastAsia="仿宋" w:cs="仿宋"/>
                <w:color w:val="auto"/>
                <w:sz w:val="24"/>
                <w:szCs w:val="24"/>
                <w:highlight w:val="none"/>
              </w:rPr>
              <w:t>；</w:t>
            </w:r>
          </w:p>
          <w:p>
            <w:pPr>
              <w:tabs>
                <w:tab w:val="left" w:pos="1572"/>
              </w:tabs>
              <w:snapToGrid w:val="0"/>
              <w:spacing w:line="400" w:lineRule="exact"/>
              <w:ind w:firstLine="600" w:firstLineChars="250"/>
              <w:rPr>
                <w:rFonts w:hint="eastAsia" w:ascii="仿宋" w:hAnsi="仿宋" w:eastAsia="仿宋" w:cs="仿宋"/>
                <w:color w:val="auto"/>
                <w:sz w:val="24"/>
                <w:szCs w:val="24"/>
                <w:highlight w:val="none"/>
                <w:lang w:val="en-US"/>
              </w:rPr>
            </w:pPr>
            <w:r>
              <w:rPr>
                <w:rFonts w:hint="eastAsia" w:ascii="仿宋" w:hAnsi="仿宋" w:eastAsia="仿宋" w:cs="仿宋"/>
                <w:color w:val="auto"/>
                <w:sz w:val="24"/>
                <w:szCs w:val="24"/>
                <w:highlight w:val="none"/>
              </w:rPr>
              <w:object>
                <v:shape id="_x0000_i1035" o:spt="75" type="#_x0000_t75" style="height:13pt;width:13pt;" o:ole="t" filled="f" stroked="f" coordsize="21600,21600">
                  <v:path/>
                  <v:fill on="f" focussize="0,0"/>
                  <v:stroke on="f"/>
                  <v:imagedata r:id="rId9" o:title=""/>
                  <o:lock v:ext="edit" grouping="f" rotation="f" text="f" aspectratio="t"/>
                  <w10:wrap type="none"/>
                  <w10:anchorlock/>
                </v:shape>
                <o:OLEObject Type="Embed" ProgID="Equation.3" ShapeID="_x0000_i1035" DrawAspect="Content" ObjectID="_1468075735" r:id="rId19">
                  <o:LockedField>false</o:LockedField>
                </o:OLEObject>
              </w:object>
            </w:r>
            <w:r>
              <w:rPr>
                <w:rFonts w:hint="eastAsia" w:ascii="仿宋" w:hAnsi="仿宋" w:eastAsia="仿宋" w:cs="仿宋"/>
                <w:color w:val="auto"/>
                <w:sz w:val="24"/>
                <w:szCs w:val="24"/>
                <w:highlight w:val="none"/>
              </w:rPr>
              <w:t>—投标价所占的百分比权重分值，F=</w:t>
            </w:r>
            <w:r>
              <w:rPr>
                <w:rFonts w:hint="eastAsia" w:ascii="仿宋" w:hAnsi="仿宋" w:eastAsia="仿宋" w:cs="仿宋"/>
                <w:color w:val="auto"/>
                <w:sz w:val="24"/>
                <w:szCs w:val="24"/>
                <w:highlight w:val="none"/>
                <w:lang w:val="en-US" w:eastAsia="zh-CN"/>
              </w:rPr>
              <w:t>80</w:t>
            </w:r>
          </w:p>
          <w:p>
            <w:pPr>
              <w:tabs>
                <w:tab w:val="left" w:pos="1572"/>
              </w:tabs>
              <w:snapToGrid w:val="0"/>
              <w:spacing w:line="400" w:lineRule="exact"/>
              <w:ind w:left="2227" w:leftChars="65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object>
                <v:shape id="_x0000_i1036" o:spt="75" type="#_x0000_t75" style="height:18pt;width:15pt;" o:ole="t" filled="f" o:preferrelative="t" stroked="f" coordsize="21600,21600">
                  <v:path/>
                  <v:fill on="f" focussize="0,0"/>
                  <v:stroke on="f"/>
                  <v:imagedata r:id="rId11" o:title=""/>
                  <o:lock v:ext="edit" grouping="f" rotation="f" text="f" aspectratio="t"/>
                  <w10:wrap type="none"/>
                  <w10:anchorlock/>
                </v:shape>
                <o:OLEObject Type="Embed" ProgID="Equation.3" ShapeID="_x0000_i1036" DrawAspect="Content" ObjectID="_1468075736" r:id="rId20">
                  <o:LockedField>false</o:LockedField>
                </o:OLEObject>
              </w:object>
            </w:r>
            <w:r>
              <w:rPr>
                <w:rFonts w:hint="eastAsia" w:ascii="仿宋" w:hAnsi="仿宋" w:eastAsia="仿宋" w:cs="仿宋"/>
                <w:color w:val="auto"/>
                <w:sz w:val="24"/>
                <w:szCs w:val="24"/>
                <w:highlight w:val="none"/>
              </w:rPr>
              <w:t>—投标人的投标价；</w:t>
            </w:r>
          </w:p>
          <w:p>
            <w:pPr>
              <w:tabs>
                <w:tab w:val="left" w:pos="1572"/>
              </w:tabs>
              <w:snapToGrid w:val="0"/>
              <w:spacing w:line="40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t xml:space="preserve"> D—评标基准价。</w:t>
            </w:r>
          </w:p>
          <w:p>
            <w:pPr>
              <w:spacing w:line="400" w:lineRule="exact"/>
              <w:ind w:firstLine="240" w:firstLineChars="1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若</w:t>
            </w:r>
            <w:r>
              <w:rPr>
                <w:rFonts w:hint="eastAsia" w:ascii="仿宋" w:hAnsi="仿宋" w:eastAsia="仿宋" w:cs="仿宋"/>
                <w:color w:val="auto"/>
                <w:sz w:val="24"/>
                <w:szCs w:val="24"/>
                <w:highlight w:val="none"/>
              </w:rPr>
              <w:object>
                <v:shape id="_x0000_i1037" o:spt="75" type="#_x0000_t75" style="height:18pt;width:15pt;" o:ole="t" filled="f" o:preferrelative="t" stroked="f" coordsize="21600,21600">
                  <v:path/>
                  <v:fill on="f" focussize="0,0"/>
                  <v:stroke on="f"/>
                  <v:imagedata r:id="rId11" o:title=""/>
                  <o:lock v:ext="edit" grouping="f" rotation="f" text="f" aspectratio="t"/>
                  <w10:wrap type="none"/>
                  <w10:anchorlock/>
                </v:shape>
                <o:OLEObject Type="Embed" ProgID="Equation.3" ShapeID="_x0000_i1037" DrawAspect="Content" ObjectID="_1468075737" r:id="rId21">
                  <o:LockedField>false</o:LockedField>
                </o:OLEObject>
              </w:objec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rPr>
              <w:t>D,则</w:t>
            </w:r>
            <w:r>
              <w:rPr>
                <w:rFonts w:hint="eastAsia" w:ascii="仿宋" w:hAnsi="仿宋" w:eastAsia="仿宋" w:cs="仿宋"/>
                <w:color w:val="auto"/>
                <w:sz w:val="24"/>
                <w:szCs w:val="24"/>
                <w:highlight w:val="none"/>
              </w:rPr>
              <w:object>
                <v:shape id="_x0000_i1038" o:spt="75" type="#_x0000_t75" style="height:13pt;width:12pt;" o:ole="t" filled="f" stroked="f" coordsize="21600,21600">
                  <v:path/>
                  <v:fill on="f" focussize="0,0"/>
                  <v:stroke on="f"/>
                  <v:imagedata r:id="rId14" o:title=""/>
                  <o:lock v:ext="edit" grouping="f" rotation="f" text="f" aspectratio="t"/>
                  <w10:wrap type="none"/>
                  <w10:anchorlock/>
                </v:shape>
                <o:OLEObject Type="Embed" ProgID="Equation.3" ShapeID="_x0000_i1038" DrawAspect="Content" ObjectID="_1468075738" r:id="rId22">
                  <o:LockedField>false</o:LockedField>
                </o:OLEObject>
              </w:object>
            </w:r>
            <w:r>
              <w:rPr>
                <w:rFonts w:hint="eastAsia" w:ascii="仿宋" w:hAnsi="仿宋" w:eastAsia="仿宋" w:cs="仿宋"/>
                <w:color w:val="auto"/>
                <w:sz w:val="24"/>
                <w:szCs w:val="24"/>
                <w:highlight w:val="none"/>
              </w:rPr>
              <w:t>=3；若</w:t>
            </w:r>
            <w:r>
              <w:rPr>
                <w:rFonts w:hint="eastAsia" w:ascii="仿宋" w:hAnsi="仿宋" w:eastAsia="仿宋" w:cs="仿宋"/>
                <w:color w:val="auto"/>
                <w:sz w:val="24"/>
                <w:szCs w:val="24"/>
                <w:highlight w:val="none"/>
              </w:rPr>
              <w:object>
                <v:shape id="_x0000_i1039" o:spt="75" type="#_x0000_t75" style="height:18pt;width:15pt;" o:ole="t" filled="f" o:preferrelative="t" stroked="f" coordsize="21600,21600">
                  <v:path/>
                  <v:fill on="f" focussize="0,0"/>
                  <v:stroke on="f"/>
                  <v:imagedata r:id="rId11" o:title=""/>
                  <o:lock v:ext="edit" grouping="f" rotation="f" text="f" aspectratio="t"/>
                  <w10:wrap type="none"/>
                  <w10:anchorlock/>
                </v:shape>
                <o:OLEObject Type="Embed" ProgID="Equation.3" ShapeID="_x0000_i1039" DrawAspect="Content" ObjectID="_1468075739" r:id="rId23">
                  <o:LockedField>false</o:LockedField>
                </o:OLEObject>
              </w:objec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rPr>
              <w:t>D，则</w:t>
            </w:r>
            <w:r>
              <w:rPr>
                <w:rFonts w:hint="eastAsia" w:ascii="仿宋" w:hAnsi="仿宋" w:eastAsia="仿宋" w:cs="仿宋"/>
                <w:color w:val="auto"/>
                <w:sz w:val="24"/>
                <w:szCs w:val="24"/>
                <w:highlight w:val="none"/>
              </w:rPr>
              <w:object>
                <v:shape id="_x0000_i1040" o:spt="75" type="#_x0000_t75" style="height:13pt;width:12pt;" o:ole="t" filled="f" stroked="f" coordsize="21600,21600">
                  <v:path/>
                  <v:fill on="f" focussize="0,0"/>
                  <v:stroke on="f"/>
                  <v:imagedata r:id="rId14" o:title=""/>
                  <o:lock v:ext="edit" grouping="f" rotation="f" text="f" aspectratio="t"/>
                  <w10:wrap type="none"/>
                  <w10:anchorlock/>
                </v:shape>
                <o:OLEObject Type="Embed" ProgID="Equation.3" ShapeID="_x0000_i1040" DrawAspect="Content" ObjectID="_1468075740" r:id="rId24">
                  <o:LockedField>false</o:LockedField>
                </o:OLEObject>
              </w:object>
            </w:r>
            <w:r>
              <w:rPr>
                <w:rFonts w:hint="eastAsia" w:ascii="仿宋" w:hAnsi="仿宋" w:eastAsia="仿宋" w:cs="仿宋"/>
                <w:color w:val="auto"/>
                <w:sz w:val="24"/>
                <w:szCs w:val="24"/>
                <w:highlight w:val="none"/>
              </w:rPr>
              <w:t>=1。</w:t>
            </w:r>
          </w:p>
          <w:p>
            <w:pPr>
              <w:spacing w:line="312" w:lineRule="auto"/>
              <w:ind w:firstLine="540" w:firstLineChars="225"/>
              <w:rPr>
                <w:rFonts w:hint="eastAsia" w:ascii="仿宋" w:hAnsi="仿宋" w:eastAsia="仿宋" w:cs="仿宋"/>
                <w:color w:val="auto"/>
                <w:sz w:val="24"/>
                <w:szCs w:val="24"/>
                <w:highlight w:val="none"/>
              </w:rPr>
            </w:pPr>
          </w:p>
          <w:p>
            <w:pPr>
              <w:snapToGrid w:val="0"/>
              <w:spacing w:line="312" w:lineRule="auto"/>
              <w:rPr>
                <w:rFonts w:hint="eastAsia" w:ascii="仿宋" w:hAnsi="仿宋" w:eastAsia="仿宋" w:cs="仿宋"/>
                <w:color w:val="auto"/>
                <w:sz w:val="24"/>
                <w:szCs w:val="24"/>
                <w:highlight w:val="none"/>
              </w:rPr>
            </w:pPr>
            <w:r>
              <w:rPr>
                <w:rFonts w:hint="eastAsia" w:ascii="仿宋" w:hAnsi="仿宋" w:eastAsia="仿宋" w:cs="仿宋"/>
                <w:b/>
                <w:color w:val="auto"/>
                <w:sz w:val="24"/>
                <w:szCs w:val="24"/>
                <w:highlight w:val="none"/>
              </w:rPr>
              <w:t>注：评标价得分四舍五入至小数点后四位。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066" w:hRule="atLeast"/>
        </w:trPr>
        <w:tc>
          <w:tcPr>
            <w:tcW w:w="742" w:type="dxa"/>
            <w:vMerge w:val="restart"/>
            <w:vAlign w:val="center"/>
          </w:tcPr>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2.2.4（</w:t>
            </w: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w:t>
            </w:r>
          </w:p>
          <w:p>
            <w:pPr>
              <w:ind w:left="0" w:leftChars="0" w:right="0" w:rightChars="0" w:firstLine="0" w:firstLineChars="0"/>
              <w:jc w:val="center"/>
              <w:rPr>
                <w:rFonts w:hint="eastAsia" w:ascii="仿宋" w:hAnsi="仿宋" w:eastAsia="仿宋" w:cs="仿宋"/>
                <w:color w:val="auto"/>
                <w:sz w:val="24"/>
                <w:szCs w:val="24"/>
                <w:highlight w:val="none"/>
              </w:rPr>
            </w:pPr>
          </w:p>
        </w:tc>
        <w:tc>
          <w:tcPr>
            <w:tcW w:w="960" w:type="dxa"/>
            <w:vMerge w:val="restart"/>
            <w:vAlign w:val="center"/>
          </w:tcPr>
          <w:p>
            <w:pPr>
              <w:ind w:left="0" w:leftChars="0" w:right="0" w:righ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其他</w:t>
            </w:r>
          </w:p>
          <w:p>
            <w:pPr>
              <w:ind w:left="0" w:leftChars="0" w:right="0" w:righ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因素</w:t>
            </w:r>
          </w:p>
        </w:tc>
        <w:tc>
          <w:tcPr>
            <w:tcW w:w="965" w:type="dxa"/>
            <w:vAlign w:val="center"/>
          </w:tcPr>
          <w:p>
            <w:pPr>
              <w:ind w:left="0" w:leftChars="0" w:right="0" w:righ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eastAsia="zh-CN"/>
              </w:rPr>
              <w:t>业绩</w:t>
            </w:r>
          </w:p>
        </w:tc>
        <w:tc>
          <w:tcPr>
            <w:tcW w:w="1265" w:type="dxa"/>
            <w:vAlign w:val="center"/>
          </w:tcPr>
          <w:p>
            <w:pPr>
              <w:ind w:left="0" w:leftChars="0" w:right="0" w:rightChars="0" w:firstLine="0" w:firstLineChars="0"/>
              <w:jc w:val="center"/>
              <w:rPr>
                <w:rFonts w:hint="eastAsia" w:ascii="仿宋" w:hAnsi="仿宋" w:eastAsia="仿宋" w:cs="仿宋"/>
                <w:color w:val="auto"/>
                <w:sz w:val="24"/>
                <w:szCs w:val="24"/>
                <w:highlight w:val="none"/>
                <w:lang w:val="en-US" w:eastAsia="zh-CN"/>
              </w:rPr>
            </w:pPr>
          </w:p>
        </w:tc>
        <w:tc>
          <w:tcPr>
            <w:tcW w:w="660" w:type="dxa"/>
            <w:vAlign w:val="center"/>
          </w:tcPr>
          <w:p>
            <w:pPr>
              <w:ind w:left="0" w:leftChars="0" w:right="0" w:rightChars="0" w:firstLine="0" w:firstLineChars="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lang w:val="en-US" w:eastAsia="zh-CN"/>
              </w:rPr>
              <w:t>3分</w:t>
            </w:r>
          </w:p>
        </w:tc>
        <w:tc>
          <w:tcPr>
            <w:tcW w:w="5463"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000000"/>
                <w:sz w:val="24"/>
                <w:szCs w:val="24"/>
                <w:highlight w:val="none"/>
              </w:rPr>
            </w:pPr>
            <w:r>
              <w:rPr>
                <w:rFonts w:hint="eastAsia" w:ascii="仿宋" w:hAnsi="仿宋" w:eastAsia="仿宋" w:cs="仿宋"/>
                <w:snapToGrid w:val="0"/>
                <w:color w:val="000000"/>
                <w:kern w:val="0"/>
                <w:szCs w:val="24"/>
                <w:highlight w:val="none"/>
              </w:rPr>
              <w:t xml:space="preserve"> </w:t>
            </w:r>
            <w:r>
              <w:rPr>
                <w:rFonts w:hint="eastAsia" w:ascii="仿宋" w:hAnsi="仿宋" w:eastAsia="仿宋" w:cs="仿宋"/>
                <w:snapToGrid w:val="0"/>
                <w:color w:val="000000"/>
                <w:kern w:val="0"/>
                <w:sz w:val="24"/>
                <w:szCs w:val="24"/>
                <w:highlight w:val="none"/>
              </w:rPr>
              <w:t>满足投标须知资格审查条件（业绩最低要求）的</w:t>
            </w:r>
            <w:r>
              <w:rPr>
                <w:rFonts w:hint="eastAsia" w:ascii="仿宋" w:hAnsi="仿宋" w:eastAsia="仿宋" w:cs="仿宋"/>
                <w:color w:val="000000"/>
                <w:sz w:val="24"/>
                <w:szCs w:val="24"/>
                <w:highlight w:val="none"/>
              </w:rPr>
              <w:t>，得基本分</w:t>
            </w:r>
            <w:r>
              <w:rPr>
                <w:rFonts w:hint="eastAsia" w:ascii="仿宋" w:hAnsi="仿宋" w:eastAsia="仿宋" w:cs="仿宋"/>
                <w:color w:val="000000"/>
                <w:sz w:val="24"/>
                <w:szCs w:val="24"/>
                <w:highlight w:val="none"/>
                <w:lang w:val="en-US" w:eastAsia="zh-CN"/>
              </w:rPr>
              <w:t>1.8</w:t>
            </w:r>
            <w:r>
              <w:rPr>
                <w:rFonts w:hint="eastAsia" w:ascii="仿宋" w:hAnsi="仿宋" w:eastAsia="仿宋" w:cs="仿宋"/>
                <w:color w:val="000000"/>
                <w:sz w:val="24"/>
                <w:szCs w:val="24"/>
                <w:highlight w:val="none"/>
              </w:rPr>
              <w:t>分；在此基础上近</w:t>
            </w:r>
            <w:r>
              <w:rPr>
                <w:rFonts w:hint="eastAsia" w:ascii="仿宋" w:hAnsi="仿宋" w:eastAsia="仿宋" w:cs="仿宋"/>
                <w:color w:val="000000"/>
                <w:sz w:val="24"/>
                <w:szCs w:val="24"/>
                <w:highlight w:val="none"/>
                <w:lang w:val="en-US" w:eastAsia="zh-CN"/>
              </w:rPr>
              <w:t>5</w:t>
            </w:r>
            <w:r>
              <w:rPr>
                <w:rFonts w:hint="eastAsia" w:ascii="仿宋" w:hAnsi="仿宋" w:eastAsia="仿宋" w:cs="仿宋"/>
                <w:color w:val="000000"/>
                <w:sz w:val="24"/>
                <w:szCs w:val="24"/>
                <w:highlight w:val="none"/>
              </w:rPr>
              <w:t>年（201</w:t>
            </w:r>
            <w:r>
              <w:rPr>
                <w:rFonts w:hint="eastAsia" w:ascii="仿宋" w:hAnsi="仿宋" w:eastAsia="仿宋" w:cs="仿宋"/>
                <w:color w:val="000000"/>
                <w:sz w:val="24"/>
                <w:szCs w:val="24"/>
                <w:highlight w:val="none"/>
                <w:lang w:val="en-US" w:eastAsia="zh-CN"/>
              </w:rPr>
              <w:t>3</w:t>
            </w:r>
            <w:r>
              <w:rPr>
                <w:rFonts w:hint="eastAsia" w:ascii="仿宋" w:hAnsi="仿宋" w:eastAsia="仿宋" w:cs="仿宋"/>
                <w:color w:val="000000"/>
                <w:sz w:val="24"/>
                <w:szCs w:val="24"/>
                <w:highlight w:val="none"/>
              </w:rPr>
              <w:t>年1月1日至递交投标文件</w:t>
            </w:r>
            <w:r>
              <w:rPr>
                <w:rFonts w:hint="eastAsia" w:ascii="仿宋" w:hAnsi="仿宋" w:eastAsia="仿宋" w:cs="仿宋"/>
                <w:color w:val="000000"/>
                <w:sz w:val="24"/>
                <w:szCs w:val="24"/>
                <w:highlight w:val="none"/>
                <w:lang w:eastAsia="zh-CN"/>
              </w:rPr>
              <w:t>截止</w:t>
            </w:r>
            <w:r>
              <w:rPr>
                <w:rFonts w:hint="eastAsia" w:ascii="仿宋" w:hAnsi="仿宋" w:eastAsia="仿宋" w:cs="仿宋"/>
                <w:color w:val="000000"/>
                <w:sz w:val="24"/>
                <w:szCs w:val="24"/>
                <w:highlight w:val="none"/>
              </w:rPr>
              <w:t>之日止）成功地独立完成</w:t>
            </w:r>
            <w:r>
              <w:rPr>
                <w:rFonts w:hint="eastAsia" w:ascii="仿宋" w:hAnsi="仿宋" w:eastAsia="仿宋" w:cs="仿宋"/>
                <w:color w:val="auto"/>
                <w:kern w:val="2"/>
                <w:sz w:val="24"/>
                <w:szCs w:val="24"/>
                <w:highlight w:val="none"/>
                <w:lang w:val="en-US" w:eastAsia="zh-CN" w:bidi="ar-SA"/>
              </w:rPr>
              <w:t>单项合同</w:t>
            </w:r>
            <w:r>
              <w:rPr>
                <w:rFonts w:hint="eastAsia" w:ascii="仿宋" w:hAnsi="仿宋" w:eastAsia="仿宋" w:cs="仿宋"/>
                <w:color w:val="000000"/>
                <w:sz w:val="24"/>
                <w:szCs w:val="24"/>
                <w:highlight w:val="none"/>
                <w:lang w:val="en-US" w:eastAsia="zh-CN"/>
              </w:rPr>
              <w:t>结算</w:t>
            </w:r>
            <w:r>
              <w:rPr>
                <w:rFonts w:hint="eastAsia" w:ascii="仿宋" w:hAnsi="仿宋" w:eastAsia="仿宋" w:cs="仿宋"/>
                <w:color w:val="000000"/>
                <w:sz w:val="24"/>
                <w:szCs w:val="24"/>
                <w:highlight w:val="none"/>
              </w:rPr>
              <w:t>金额在</w:t>
            </w:r>
            <w:r>
              <w:rPr>
                <w:rFonts w:hint="eastAsia" w:ascii="仿宋" w:hAnsi="仿宋" w:eastAsia="仿宋" w:cs="仿宋"/>
                <w:b/>
                <w:color w:val="000000"/>
                <w:sz w:val="24"/>
                <w:szCs w:val="24"/>
                <w:highlight w:val="none"/>
              </w:rPr>
              <w:t>RMB</w:t>
            </w:r>
            <w:r>
              <w:rPr>
                <w:rFonts w:hint="eastAsia" w:ascii="仿宋" w:hAnsi="仿宋" w:eastAsia="仿宋" w:cs="仿宋"/>
                <w:b/>
                <w:color w:val="000000"/>
                <w:sz w:val="24"/>
                <w:szCs w:val="24"/>
                <w:highlight w:val="none"/>
                <w:lang w:val="en-US" w:eastAsia="zh-CN"/>
              </w:rPr>
              <w:t>500-1000</w:t>
            </w:r>
            <w:r>
              <w:rPr>
                <w:rFonts w:hint="eastAsia" w:ascii="仿宋" w:hAnsi="仿宋" w:eastAsia="仿宋" w:cs="仿宋"/>
                <w:b/>
                <w:color w:val="000000"/>
                <w:sz w:val="24"/>
                <w:szCs w:val="24"/>
                <w:highlight w:val="none"/>
              </w:rPr>
              <w:t>万元</w:t>
            </w:r>
            <w:r>
              <w:rPr>
                <w:rFonts w:hint="eastAsia" w:ascii="仿宋" w:hAnsi="仿宋" w:eastAsia="仿宋" w:cs="仿宋"/>
                <w:b/>
                <w:color w:val="000000"/>
                <w:sz w:val="24"/>
                <w:szCs w:val="24"/>
                <w:highlight w:val="none"/>
                <w:lang w:eastAsia="zh-CN"/>
              </w:rPr>
              <w:t>（含</w:t>
            </w:r>
            <w:r>
              <w:rPr>
                <w:rFonts w:hint="eastAsia" w:ascii="仿宋" w:hAnsi="仿宋" w:eastAsia="仿宋" w:cs="仿宋"/>
                <w:b/>
                <w:color w:val="000000"/>
                <w:sz w:val="24"/>
                <w:szCs w:val="24"/>
                <w:highlight w:val="none"/>
                <w:lang w:val="en-US" w:eastAsia="zh-CN"/>
              </w:rPr>
              <w:t>500万元</w:t>
            </w:r>
            <w:r>
              <w:rPr>
                <w:rFonts w:hint="eastAsia" w:ascii="仿宋" w:hAnsi="仿宋" w:eastAsia="仿宋" w:cs="仿宋"/>
                <w:b/>
                <w:color w:val="000000"/>
                <w:sz w:val="24"/>
                <w:szCs w:val="24"/>
                <w:highlight w:val="none"/>
                <w:lang w:eastAsia="zh-CN"/>
              </w:rPr>
              <w:t>）</w:t>
            </w:r>
            <w:r>
              <w:rPr>
                <w:rFonts w:hint="eastAsia" w:ascii="仿宋" w:hAnsi="仿宋" w:eastAsia="仿宋" w:cs="仿宋"/>
                <w:color w:val="auto"/>
                <w:kern w:val="2"/>
                <w:sz w:val="24"/>
                <w:szCs w:val="24"/>
                <w:highlight w:val="none"/>
                <w:lang w:val="en-US" w:eastAsia="zh-CN" w:bidi="ar-SA"/>
              </w:rPr>
              <w:t>高速公路桥涵维修加固工程</w:t>
            </w:r>
            <w:r>
              <w:rPr>
                <w:rFonts w:hint="eastAsia" w:ascii="仿宋" w:hAnsi="仿宋" w:eastAsia="仿宋" w:cs="仿宋"/>
                <w:color w:val="000000"/>
                <w:sz w:val="24"/>
                <w:szCs w:val="24"/>
                <w:highlight w:val="none"/>
              </w:rPr>
              <w:t>,每增加一项加</w:t>
            </w:r>
            <w:r>
              <w:rPr>
                <w:rFonts w:hint="eastAsia" w:ascii="仿宋" w:hAnsi="仿宋" w:eastAsia="仿宋" w:cs="仿宋"/>
                <w:color w:val="000000"/>
                <w:sz w:val="24"/>
                <w:szCs w:val="24"/>
                <w:highlight w:val="none"/>
                <w:lang w:val="en-US" w:eastAsia="zh-CN"/>
              </w:rPr>
              <w:t>0.3</w:t>
            </w:r>
            <w:r>
              <w:rPr>
                <w:rFonts w:hint="eastAsia" w:ascii="仿宋" w:hAnsi="仿宋" w:eastAsia="仿宋" w:cs="仿宋"/>
                <w:color w:val="000000"/>
                <w:sz w:val="24"/>
                <w:szCs w:val="24"/>
                <w:highlight w:val="none"/>
              </w:rPr>
              <w:t>分</w:t>
            </w:r>
            <w:r>
              <w:rPr>
                <w:rFonts w:hint="eastAsia" w:ascii="仿宋" w:hAnsi="仿宋" w:eastAsia="仿宋" w:cs="仿宋"/>
                <w:color w:val="000000"/>
                <w:sz w:val="24"/>
                <w:szCs w:val="24"/>
                <w:highlight w:val="none"/>
                <w:lang w:eastAsia="zh-CN"/>
              </w:rPr>
              <w:t>；</w:t>
            </w:r>
            <w:r>
              <w:rPr>
                <w:rFonts w:hint="eastAsia" w:ascii="仿宋" w:hAnsi="仿宋" w:eastAsia="仿宋" w:cs="仿宋"/>
                <w:color w:val="auto"/>
                <w:kern w:val="2"/>
                <w:sz w:val="24"/>
                <w:szCs w:val="24"/>
                <w:highlight w:val="none"/>
                <w:lang w:val="en-US" w:eastAsia="zh-CN" w:bidi="ar-SA"/>
              </w:rPr>
              <w:t>单项合同</w:t>
            </w:r>
            <w:r>
              <w:rPr>
                <w:rFonts w:hint="eastAsia" w:ascii="仿宋" w:hAnsi="仿宋" w:eastAsia="仿宋" w:cs="仿宋"/>
                <w:color w:val="000000"/>
                <w:sz w:val="24"/>
                <w:szCs w:val="24"/>
                <w:highlight w:val="none"/>
              </w:rPr>
              <w:t>结算金额在RMB</w:t>
            </w:r>
            <w:r>
              <w:rPr>
                <w:rFonts w:hint="eastAsia" w:ascii="仿宋" w:hAnsi="仿宋" w:eastAsia="仿宋" w:cs="仿宋"/>
                <w:color w:val="000000"/>
                <w:sz w:val="24"/>
                <w:szCs w:val="24"/>
                <w:highlight w:val="none"/>
                <w:lang w:val="en-US" w:eastAsia="zh-CN"/>
              </w:rPr>
              <w:t>10</w:t>
            </w:r>
            <w:r>
              <w:rPr>
                <w:rFonts w:hint="eastAsia" w:ascii="仿宋" w:hAnsi="仿宋" w:eastAsia="仿宋" w:cs="仿宋"/>
                <w:color w:val="000000"/>
                <w:sz w:val="24"/>
                <w:szCs w:val="24"/>
                <w:highlight w:val="none"/>
              </w:rPr>
              <w:t>00</w:t>
            </w:r>
            <w:r>
              <w:rPr>
                <w:rFonts w:hint="eastAsia" w:ascii="仿宋" w:hAnsi="仿宋" w:eastAsia="仿宋" w:cs="仿宋"/>
                <w:color w:val="000000"/>
                <w:sz w:val="24"/>
                <w:szCs w:val="24"/>
                <w:highlight w:val="none"/>
                <w:lang w:val="en-US" w:eastAsia="zh-CN"/>
              </w:rPr>
              <w:t>-1500万元（含1000万元）</w:t>
            </w:r>
            <w:r>
              <w:rPr>
                <w:rFonts w:hint="eastAsia" w:ascii="仿宋" w:hAnsi="仿宋" w:eastAsia="仿宋" w:cs="仿宋"/>
                <w:color w:val="000000"/>
                <w:sz w:val="24"/>
                <w:szCs w:val="24"/>
                <w:highlight w:val="none"/>
              </w:rPr>
              <w:t>，每增加一项加</w:t>
            </w:r>
            <w:r>
              <w:rPr>
                <w:rFonts w:hint="eastAsia" w:ascii="仿宋" w:hAnsi="仿宋" w:eastAsia="仿宋" w:cs="仿宋"/>
                <w:color w:val="000000"/>
                <w:sz w:val="24"/>
                <w:szCs w:val="24"/>
                <w:highlight w:val="none"/>
                <w:lang w:val="en-US" w:eastAsia="zh-CN"/>
              </w:rPr>
              <w:t>0.4</w:t>
            </w:r>
            <w:r>
              <w:rPr>
                <w:rFonts w:hint="eastAsia" w:ascii="仿宋" w:hAnsi="仿宋" w:eastAsia="仿宋" w:cs="仿宋"/>
                <w:color w:val="000000"/>
                <w:sz w:val="24"/>
                <w:szCs w:val="24"/>
                <w:highlight w:val="none"/>
              </w:rPr>
              <w:t>分；</w:t>
            </w:r>
            <w:r>
              <w:rPr>
                <w:rFonts w:hint="eastAsia" w:ascii="仿宋" w:hAnsi="仿宋" w:eastAsia="仿宋" w:cs="仿宋"/>
                <w:color w:val="auto"/>
                <w:kern w:val="2"/>
                <w:sz w:val="24"/>
                <w:szCs w:val="24"/>
                <w:highlight w:val="none"/>
                <w:lang w:val="en-US" w:eastAsia="zh-CN" w:bidi="ar-SA"/>
              </w:rPr>
              <w:t>单项合同</w:t>
            </w:r>
            <w:r>
              <w:rPr>
                <w:rFonts w:hint="eastAsia" w:ascii="仿宋" w:hAnsi="仿宋" w:eastAsia="仿宋" w:cs="仿宋"/>
                <w:color w:val="000000"/>
                <w:sz w:val="24"/>
                <w:szCs w:val="24"/>
                <w:highlight w:val="none"/>
              </w:rPr>
              <w:t>结算金额在RMB</w:t>
            </w:r>
            <w:r>
              <w:rPr>
                <w:rFonts w:hint="eastAsia" w:ascii="仿宋" w:hAnsi="仿宋" w:eastAsia="仿宋" w:cs="仿宋"/>
                <w:color w:val="000000"/>
                <w:sz w:val="24"/>
                <w:szCs w:val="24"/>
                <w:highlight w:val="none"/>
                <w:lang w:val="en-US" w:eastAsia="zh-CN"/>
              </w:rPr>
              <w:t>15</w:t>
            </w:r>
            <w:r>
              <w:rPr>
                <w:rFonts w:hint="eastAsia" w:ascii="仿宋" w:hAnsi="仿宋" w:eastAsia="仿宋" w:cs="仿宋"/>
                <w:color w:val="000000"/>
                <w:sz w:val="24"/>
                <w:szCs w:val="24"/>
                <w:highlight w:val="none"/>
              </w:rPr>
              <w:t>00万元</w:t>
            </w:r>
            <w:r>
              <w:rPr>
                <w:rFonts w:hint="eastAsia" w:ascii="仿宋" w:hAnsi="仿宋" w:eastAsia="仿宋" w:cs="仿宋"/>
                <w:color w:val="000000"/>
                <w:sz w:val="24"/>
                <w:szCs w:val="24"/>
                <w:highlight w:val="none"/>
                <w:lang w:eastAsia="zh-CN"/>
              </w:rPr>
              <w:t>（含</w:t>
            </w:r>
            <w:r>
              <w:rPr>
                <w:rFonts w:hint="eastAsia" w:ascii="仿宋" w:hAnsi="仿宋" w:eastAsia="仿宋" w:cs="仿宋"/>
                <w:color w:val="000000"/>
                <w:sz w:val="24"/>
                <w:szCs w:val="24"/>
                <w:highlight w:val="none"/>
                <w:lang w:val="en-US" w:eastAsia="zh-CN"/>
              </w:rPr>
              <w:t>1500万元</w:t>
            </w:r>
            <w:r>
              <w:rPr>
                <w:rFonts w:hint="eastAsia" w:ascii="仿宋" w:hAnsi="仿宋" w:eastAsia="仿宋" w:cs="仿宋"/>
                <w:color w:val="000000"/>
                <w:sz w:val="24"/>
                <w:szCs w:val="24"/>
                <w:highlight w:val="none"/>
                <w:lang w:eastAsia="zh-CN"/>
              </w:rPr>
              <w:t>）</w:t>
            </w:r>
            <w:r>
              <w:rPr>
                <w:rFonts w:hint="eastAsia" w:ascii="仿宋" w:hAnsi="仿宋" w:eastAsia="仿宋" w:cs="仿宋"/>
                <w:color w:val="000000"/>
                <w:sz w:val="24"/>
                <w:szCs w:val="24"/>
                <w:highlight w:val="none"/>
              </w:rPr>
              <w:t>以上，每增加一项加</w:t>
            </w:r>
            <w:r>
              <w:rPr>
                <w:rFonts w:hint="eastAsia" w:ascii="仿宋" w:hAnsi="仿宋" w:eastAsia="仿宋" w:cs="仿宋"/>
                <w:color w:val="000000"/>
                <w:sz w:val="24"/>
                <w:szCs w:val="24"/>
                <w:highlight w:val="none"/>
                <w:lang w:val="en-US" w:eastAsia="zh-CN"/>
              </w:rPr>
              <w:t>0.6</w:t>
            </w:r>
            <w:r>
              <w:rPr>
                <w:rFonts w:hint="eastAsia" w:ascii="仿宋" w:hAnsi="仿宋" w:eastAsia="仿宋" w:cs="仿宋"/>
                <w:color w:val="000000"/>
                <w:sz w:val="24"/>
                <w:szCs w:val="24"/>
                <w:highlight w:val="none"/>
              </w:rPr>
              <w:t>分；最高加分不超过</w:t>
            </w:r>
            <w:r>
              <w:rPr>
                <w:rFonts w:hint="eastAsia" w:ascii="仿宋" w:hAnsi="仿宋" w:eastAsia="仿宋" w:cs="仿宋"/>
                <w:color w:val="000000"/>
                <w:sz w:val="24"/>
                <w:szCs w:val="24"/>
                <w:highlight w:val="none"/>
                <w:lang w:val="en-US" w:eastAsia="zh-CN"/>
              </w:rPr>
              <w:t>1.2</w:t>
            </w:r>
            <w:r>
              <w:rPr>
                <w:rFonts w:hint="eastAsia" w:ascii="仿宋" w:hAnsi="仿宋" w:eastAsia="仿宋" w:cs="仿宋"/>
                <w:color w:val="000000"/>
                <w:sz w:val="24"/>
                <w:szCs w:val="24"/>
                <w:highlight w:val="none"/>
              </w:rPr>
              <w:t>分。</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000000"/>
                <w:sz w:val="24"/>
                <w:szCs w:val="24"/>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000000"/>
                <w:sz w:val="24"/>
                <w:szCs w:val="24"/>
                <w:highlight w:val="none"/>
              </w:rPr>
            </w:pPr>
            <w:r>
              <w:rPr>
                <w:rFonts w:hint="eastAsia" w:ascii="仿宋" w:hAnsi="仿宋" w:eastAsia="仿宋" w:cs="仿宋"/>
                <w:b/>
                <w:bCs/>
                <w:color w:val="000000"/>
                <w:sz w:val="24"/>
                <w:szCs w:val="24"/>
                <w:highlight w:val="none"/>
                <w:lang w:eastAsia="zh-CN"/>
              </w:rPr>
              <w:t>注：资格审查业绩不再作为加分业绩计</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00000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09" w:hRule="atLeast"/>
        </w:trPr>
        <w:tc>
          <w:tcPr>
            <w:tcW w:w="742" w:type="dxa"/>
            <w:vMerge w:val="continue"/>
            <w:vAlign w:val="center"/>
          </w:tcPr>
          <w:p>
            <w:pPr>
              <w:ind w:left="0" w:leftChars="0" w:right="0" w:rightChars="0" w:firstLine="0" w:firstLineChars="0"/>
              <w:jc w:val="center"/>
              <w:rPr>
                <w:rFonts w:hint="eastAsia" w:ascii="仿宋" w:hAnsi="仿宋" w:eastAsia="仿宋" w:cs="仿宋"/>
                <w:color w:val="auto"/>
                <w:sz w:val="24"/>
                <w:szCs w:val="24"/>
                <w:highlight w:val="none"/>
              </w:rPr>
            </w:pPr>
          </w:p>
        </w:tc>
        <w:tc>
          <w:tcPr>
            <w:tcW w:w="960" w:type="dxa"/>
            <w:vMerge w:val="continue"/>
            <w:vAlign w:val="center"/>
          </w:tcPr>
          <w:p>
            <w:pPr>
              <w:ind w:left="0" w:leftChars="0" w:right="0" w:rightChars="0" w:firstLine="0" w:firstLineChars="0"/>
              <w:jc w:val="center"/>
              <w:rPr>
                <w:rFonts w:hint="eastAsia" w:ascii="仿宋" w:hAnsi="仿宋" w:eastAsia="仿宋" w:cs="仿宋"/>
                <w:color w:val="auto"/>
                <w:sz w:val="24"/>
                <w:szCs w:val="24"/>
                <w:highlight w:val="none"/>
              </w:rPr>
            </w:pPr>
          </w:p>
        </w:tc>
        <w:tc>
          <w:tcPr>
            <w:tcW w:w="965" w:type="dxa"/>
            <w:vAlign w:val="center"/>
          </w:tcPr>
          <w:p>
            <w:pPr>
              <w:ind w:left="0" w:leftChars="0" w:right="0" w:rightChars="0" w:firstLine="0" w:firstLineChars="0"/>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履约</w:t>
            </w:r>
          </w:p>
          <w:p>
            <w:pPr>
              <w:ind w:left="0" w:leftChars="0" w:right="0" w:rightChars="0" w:firstLine="0" w:firstLineChars="0"/>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信誉</w:t>
            </w:r>
          </w:p>
        </w:tc>
        <w:tc>
          <w:tcPr>
            <w:tcW w:w="1265" w:type="dxa"/>
            <w:vAlign w:val="center"/>
          </w:tcPr>
          <w:p>
            <w:pPr>
              <w:ind w:left="0" w:leftChars="0" w:right="0" w:rightChars="0" w:firstLine="0" w:firstLineChars="0"/>
              <w:jc w:val="center"/>
              <w:rPr>
                <w:rFonts w:hint="eastAsia" w:ascii="仿宋" w:hAnsi="仿宋" w:eastAsia="仿宋" w:cs="仿宋"/>
                <w:color w:val="auto"/>
                <w:sz w:val="24"/>
                <w:szCs w:val="24"/>
                <w:highlight w:val="none"/>
              </w:rPr>
            </w:pPr>
          </w:p>
        </w:tc>
        <w:tc>
          <w:tcPr>
            <w:tcW w:w="660" w:type="dxa"/>
            <w:vAlign w:val="center"/>
          </w:tcPr>
          <w:p>
            <w:pP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10</w:t>
            </w:r>
            <w:r>
              <w:rPr>
                <w:rFonts w:hint="eastAsia" w:ascii="仿宋" w:hAnsi="仿宋" w:eastAsia="仿宋" w:cs="仿宋"/>
                <w:color w:val="auto"/>
                <w:sz w:val="24"/>
                <w:szCs w:val="24"/>
                <w:highlight w:val="none"/>
              </w:rPr>
              <w:t>分</w:t>
            </w:r>
          </w:p>
        </w:tc>
        <w:tc>
          <w:tcPr>
            <w:tcW w:w="5463" w:type="dxa"/>
            <w:vAlign w:val="center"/>
          </w:tcPr>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lang w:val="en-US" w:eastAsia="zh-CN"/>
              </w:rPr>
            </w:pPr>
            <w:r>
              <w:rPr>
                <w:rFonts w:hint="eastAsia" w:ascii="仿宋" w:hAnsi="仿宋" w:eastAsia="仿宋" w:cs="仿宋"/>
                <w:color w:val="auto"/>
                <w:sz w:val="24"/>
                <w:szCs w:val="24"/>
                <w:highlight w:val="none"/>
                <w:lang w:eastAsia="zh-CN"/>
              </w:rPr>
              <w:t>履</w:t>
            </w:r>
            <w:r>
              <w:rPr>
                <w:rFonts w:hint="eastAsia" w:ascii="仿宋_GB2312" w:hAnsi="仿宋_GB2312" w:eastAsia="仿宋_GB2312" w:cs="仿宋_GB2312"/>
                <w:color w:val="auto"/>
                <w:sz w:val="24"/>
                <w:szCs w:val="24"/>
                <w:highlight w:val="none"/>
                <w:lang w:val="en-US" w:eastAsia="zh-CN"/>
              </w:rPr>
              <w:t>约信誉情况：</w:t>
            </w:r>
          </w:p>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1.</w:t>
            </w:r>
            <w:r>
              <w:rPr>
                <w:rFonts w:hint="eastAsia" w:ascii="仿宋_GB2312" w:hAnsi="仿宋_GB2312" w:eastAsia="仿宋_GB2312" w:cs="仿宋_GB2312"/>
                <w:color w:val="auto"/>
                <w:sz w:val="24"/>
                <w:szCs w:val="24"/>
                <w:highlight w:val="none"/>
              </w:rPr>
              <w:t>信用等级</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lang w:val="en-US" w:eastAsia="zh-CN"/>
              </w:rPr>
              <w:t>5分</w:t>
            </w:r>
            <w:r>
              <w:rPr>
                <w:rFonts w:hint="eastAsia" w:ascii="仿宋_GB2312" w:hAnsi="仿宋_GB2312" w:eastAsia="仿宋_GB2312" w:cs="仿宋_GB2312"/>
                <w:color w:val="auto"/>
                <w:sz w:val="24"/>
                <w:szCs w:val="24"/>
                <w:highlight w:val="none"/>
                <w:lang w:eastAsia="zh-CN"/>
              </w:rPr>
              <w:t>）</w:t>
            </w:r>
          </w:p>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AA、A、B、C 级单位的信用等级分得分分别为 </w:t>
            </w:r>
            <w:r>
              <w:rPr>
                <w:rFonts w:hint="eastAsia" w:ascii="仿宋_GB2312" w:hAnsi="仿宋_GB2312" w:eastAsia="仿宋_GB2312" w:cs="仿宋_GB2312"/>
                <w:color w:val="auto"/>
                <w:sz w:val="24"/>
                <w:szCs w:val="24"/>
                <w:highlight w:val="none"/>
                <w:lang w:val="en-US" w:eastAsia="zh-CN"/>
              </w:rPr>
              <w:t>5.00</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val="en-US" w:eastAsia="zh-CN"/>
              </w:rPr>
              <w:t>4.75</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val="en-US" w:eastAsia="zh-CN"/>
              </w:rPr>
              <w:t>4.45</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val="en-US" w:eastAsia="zh-CN"/>
              </w:rPr>
              <w:t>3.65</w:t>
            </w:r>
            <w:r>
              <w:rPr>
                <w:rFonts w:hint="eastAsia" w:ascii="仿宋_GB2312" w:hAnsi="仿宋_GB2312" w:eastAsia="仿宋_GB2312" w:cs="仿宋_GB2312"/>
                <w:color w:val="auto"/>
                <w:sz w:val="24"/>
                <w:szCs w:val="24"/>
                <w:highlight w:val="none"/>
              </w:rPr>
              <w:t xml:space="preserve"> 分。</w:t>
            </w:r>
          </w:p>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注：信用等级的确定原则遵循投标人须知前附表 10.2 款的规定</w:t>
            </w:r>
            <w:r>
              <w:rPr>
                <w:rFonts w:hint="eastAsia" w:ascii="仿宋_GB2312" w:hAnsi="仿宋_GB2312" w:eastAsia="仿宋_GB2312" w:cs="仿宋_GB2312"/>
                <w:color w:val="auto"/>
                <w:sz w:val="24"/>
                <w:szCs w:val="24"/>
                <w:highlight w:val="none"/>
                <w:lang w:eastAsia="zh-CN"/>
              </w:rPr>
              <w:t>。</w:t>
            </w:r>
          </w:p>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w:t>
            </w:r>
            <w:r>
              <w:rPr>
                <w:rFonts w:hint="eastAsia" w:ascii="仿宋_GB2312" w:hAnsi="仿宋_GB2312" w:eastAsia="仿宋_GB2312" w:cs="仿宋_GB2312"/>
                <w:color w:val="auto"/>
                <w:sz w:val="24"/>
                <w:szCs w:val="24"/>
                <w:highlight w:val="none"/>
              </w:rPr>
              <w:t>履约情况：</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lang w:val="en-US" w:eastAsia="zh-CN"/>
              </w:rPr>
              <w:t>5</w:t>
            </w:r>
            <w:r>
              <w:rPr>
                <w:rFonts w:hint="eastAsia" w:ascii="仿宋_GB2312" w:hAnsi="仿宋_GB2312" w:eastAsia="仿宋_GB2312" w:cs="仿宋_GB2312"/>
                <w:color w:val="auto"/>
                <w:sz w:val="24"/>
                <w:szCs w:val="24"/>
                <w:highlight w:val="none"/>
              </w:rPr>
              <w:t>分</w:t>
            </w:r>
            <w:r>
              <w:rPr>
                <w:rFonts w:hint="eastAsia" w:ascii="仿宋_GB2312" w:hAnsi="仿宋_GB2312" w:eastAsia="仿宋_GB2312" w:cs="仿宋_GB2312"/>
                <w:color w:val="auto"/>
                <w:sz w:val="24"/>
                <w:szCs w:val="24"/>
                <w:highlight w:val="none"/>
                <w:lang w:eastAsia="zh-CN"/>
              </w:rPr>
              <w:t>）</w:t>
            </w:r>
          </w:p>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若没出现下述情形得满分，得满分 </w:t>
            </w:r>
            <w:r>
              <w:rPr>
                <w:rFonts w:hint="eastAsia" w:ascii="仿宋_GB2312" w:hAnsi="仿宋_GB2312" w:eastAsia="仿宋_GB2312" w:cs="仿宋_GB2312"/>
                <w:color w:val="auto"/>
                <w:sz w:val="24"/>
                <w:szCs w:val="24"/>
                <w:highlight w:val="none"/>
                <w:lang w:val="en-US" w:eastAsia="zh-CN"/>
              </w:rPr>
              <w:t>5</w:t>
            </w:r>
            <w:r>
              <w:rPr>
                <w:rFonts w:hint="eastAsia" w:ascii="仿宋_GB2312" w:hAnsi="仿宋_GB2312" w:eastAsia="仿宋_GB2312" w:cs="仿宋_GB2312"/>
                <w:color w:val="auto"/>
                <w:sz w:val="24"/>
                <w:szCs w:val="24"/>
                <w:highlight w:val="none"/>
              </w:rPr>
              <w:t xml:space="preserve"> 分。</w:t>
            </w:r>
          </w:p>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自</w:t>
            </w:r>
            <w:r>
              <w:rPr>
                <w:rFonts w:hint="eastAsia" w:ascii="仿宋_GB2312" w:hAnsi="仿宋_GB2312" w:eastAsia="仿宋_GB2312" w:cs="仿宋_GB2312"/>
                <w:color w:val="FF0000"/>
                <w:sz w:val="24"/>
                <w:szCs w:val="24"/>
                <w:highlight w:val="none"/>
                <w:lang w:val="en-US" w:eastAsia="zh-CN"/>
              </w:rPr>
              <w:t>2017</w:t>
            </w:r>
            <w:r>
              <w:rPr>
                <w:rFonts w:hint="eastAsia" w:ascii="仿宋_GB2312" w:hAnsi="仿宋_GB2312" w:eastAsia="仿宋_GB2312" w:cs="仿宋_GB2312"/>
                <w:color w:val="FF0000"/>
                <w:sz w:val="24"/>
                <w:szCs w:val="24"/>
                <w:highlight w:val="none"/>
              </w:rPr>
              <w:t>年</w:t>
            </w:r>
            <w:r>
              <w:rPr>
                <w:rFonts w:hint="eastAsia" w:ascii="仿宋_GB2312" w:hAnsi="仿宋_GB2312" w:eastAsia="仿宋_GB2312" w:cs="仿宋_GB2312"/>
                <w:color w:val="FF0000"/>
                <w:sz w:val="24"/>
                <w:szCs w:val="24"/>
                <w:highlight w:val="none"/>
                <w:u w:val="single" w:color="auto"/>
              </w:rPr>
              <w:t xml:space="preserve">   </w:t>
            </w:r>
            <w:r>
              <w:rPr>
                <w:rFonts w:hint="eastAsia" w:ascii="仿宋_GB2312" w:hAnsi="仿宋_GB2312" w:eastAsia="仿宋_GB2312" w:cs="仿宋_GB2312"/>
                <w:color w:val="FF0000"/>
                <w:sz w:val="24"/>
                <w:szCs w:val="24"/>
                <w:highlight w:val="none"/>
              </w:rPr>
              <w:t>月</w:t>
            </w:r>
            <w:r>
              <w:rPr>
                <w:rFonts w:hint="eastAsia" w:ascii="仿宋_GB2312" w:hAnsi="仿宋_GB2312" w:eastAsia="仿宋_GB2312" w:cs="仿宋_GB2312"/>
                <w:color w:val="FF0000"/>
                <w:sz w:val="24"/>
                <w:szCs w:val="24"/>
                <w:highlight w:val="none"/>
                <w:u w:val="single" w:color="auto"/>
              </w:rPr>
              <w:t xml:space="preserve">  </w:t>
            </w:r>
            <w:r>
              <w:rPr>
                <w:rFonts w:hint="eastAsia" w:ascii="仿宋_GB2312" w:hAnsi="仿宋_GB2312" w:eastAsia="仿宋_GB2312" w:cs="仿宋_GB2312"/>
                <w:color w:val="FF0000"/>
                <w:sz w:val="24"/>
                <w:szCs w:val="24"/>
                <w:highlight w:val="none"/>
                <w:u w:val="single" w:color="auto"/>
                <w:lang w:val="en-US" w:eastAsia="zh-CN"/>
              </w:rPr>
              <w:t xml:space="preserve">   </w:t>
            </w:r>
            <w:r>
              <w:rPr>
                <w:rFonts w:hint="eastAsia" w:ascii="仿宋_GB2312" w:hAnsi="仿宋_GB2312" w:eastAsia="仿宋_GB2312" w:cs="仿宋_GB2312"/>
                <w:color w:val="FF0000"/>
                <w:sz w:val="24"/>
                <w:szCs w:val="24"/>
                <w:highlight w:val="none"/>
              </w:rPr>
              <w:t>日至</w:t>
            </w:r>
            <w:r>
              <w:rPr>
                <w:rFonts w:hint="eastAsia" w:ascii="仿宋_GB2312" w:hAnsi="仿宋_GB2312" w:eastAsia="仿宋_GB2312" w:cs="仿宋_GB2312"/>
                <w:color w:val="auto"/>
                <w:sz w:val="24"/>
                <w:szCs w:val="24"/>
                <w:highlight w:val="none"/>
              </w:rPr>
              <w:t>投标文件递交截止日（投标文件递交截止日前</w:t>
            </w:r>
            <w:r>
              <w:rPr>
                <w:rFonts w:hint="eastAsia" w:ascii="仿宋_GB2312" w:hAnsi="仿宋_GB2312" w:eastAsia="仿宋_GB2312" w:cs="仿宋_GB2312"/>
                <w:color w:val="auto"/>
                <w:sz w:val="24"/>
                <w:szCs w:val="24"/>
                <w:highlight w:val="none"/>
                <w:lang w:val="en-US" w:eastAsia="zh-CN"/>
              </w:rPr>
              <w:t>1</w:t>
            </w:r>
            <w:r>
              <w:rPr>
                <w:rFonts w:hint="eastAsia" w:ascii="仿宋_GB2312" w:hAnsi="仿宋_GB2312" w:eastAsia="仿宋_GB2312" w:cs="仿宋_GB2312"/>
                <w:color w:val="auto"/>
                <w:sz w:val="24"/>
                <w:szCs w:val="24"/>
                <w:highlight w:val="none"/>
              </w:rPr>
              <w:t>年内），因公路工程（含附属设施）质量、安全、履约或招标投标问题等原因被：</w:t>
            </w:r>
          </w:p>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（1）交通运输部通报批评的，扣 </w:t>
            </w:r>
            <w:r>
              <w:rPr>
                <w:rFonts w:hint="eastAsia" w:ascii="仿宋_GB2312" w:hAnsi="仿宋_GB2312" w:eastAsia="仿宋_GB2312" w:cs="仿宋_GB2312"/>
                <w:color w:val="auto"/>
                <w:sz w:val="24"/>
                <w:szCs w:val="24"/>
                <w:highlight w:val="none"/>
                <w:lang w:val="en-US" w:eastAsia="zh-CN"/>
              </w:rPr>
              <w:t>5.0</w:t>
            </w:r>
            <w:r>
              <w:rPr>
                <w:rFonts w:hint="eastAsia" w:ascii="仿宋_GB2312" w:hAnsi="仿宋_GB2312" w:eastAsia="仿宋_GB2312" w:cs="仿宋_GB2312"/>
                <w:color w:val="auto"/>
                <w:sz w:val="24"/>
                <w:szCs w:val="24"/>
                <w:highlight w:val="none"/>
              </w:rPr>
              <w:t>分/次；</w:t>
            </w:r>
          </w:p>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（2）广东省交通运输厅通报批评的，扣 </w:t>
            </w:r>
            <w:r>
              <w:rPr>
                <w:rFonts w:hint="eastAsia" w:ascii="仿宋_GB2312" w:hAnsi="仿宋_GB2312" w:eastAsia="仿宋_GB2312" w:cs="仿宋_GB2312"/>
                <w:color w:val="auto"/>
                <w:sz w:val="24"/>
                <w:szCs w:val="24"/>
                <w:highlight w:val="none"/>
                <w:lang w:val="en-US" w:eastAsia="zh-CN"/>
              </w:rPr>
              <w:t>4</w:t>
            </w:r>
            <w:r>
              <w:rPr>
                <w:rFonts w:hint="eastAsia" w:ascii="仿宋_GB2312" w:hAnsi="仿宋_GB2312" w:eastAsia="仿宋_GB2312" w:cs="仿宋_GB2312"/>
                <w:color w:val="auto"/>
                <w:sz w:val="24"/>
                <w:szCs w:val="24"/>
                <w:highlight w:val="none"/>
              </w:rPr>
              <w:t xml:space="preserve"> 分/次；</w:t>
            </w:r>
          </w:p>
          <w:p>
            <w:pPr>
              <w:snapToGrid w:val="0"/>
              <w:spacing w:line="400" w:lineRule="exact"/>
              <w:ind w:left="0" w:leftChars="0" w:right="0" w:rightChars="0" w:firstLine="0" w:firstLineChars="0"/>
              <w:jc w:val="both"/>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（3）项目所在地地市级交通运输局（委）、本项目招标人或招标人上级管理单位通报批评的，扣 </w:t>
            </w:r>
            <w:r>
              <w:rPr>
                <w:rFonts w:hint="eastAsia" w:ascii="仿宋_GB2312" w:hAnsi="仿宋_GB2312" w:eastAsia="仿宋_GB2312" w:cs="仿宋_GB2312"/>
                <w:color w:val="auto"/>
                <w:sz w:val="24"/>
                <w:szCs w:val="24"/>
                <w:highlight w:val="none"/>
                <w:lang w:val="en-US" w:eastAsia="zh-CN"/>
              </w:rPr>
              <w:t>1</w:t>
            </w:r>
            <w:r>
              <w:rPr>
                <w:rFonts w:hint="eastAsia" w:ascii="仿宋_GB2312" w:hAnsi="仿宋_GB2312" w:eastAsia="仿宋_GB2312" w:cs="仿宋_GB2312"/>
                <w:color w:val="auto"/>
                <w:sz w:val="24"/>
                <w:szCs w:val="24"/>
                <w:highlight w:val="none"/>
              </w:rPr>
              <w:t xml:space="preserve"> 分/次；</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同一事项同时被多个部门通报批评只按最高的扣分计算 1 次。如果扣完本项分值，可以从总分中扣。</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p>
        </w:tc>
      </w:tr>
    </w:tbl>
    <w:p>
      <w:pPr>
        <w:rPr>
          <w:rFonts w:hint="eastAsia" w:ascii="仿宋" w:hAnsi="仿宋" w:eastAsia="仿宋" w:cs="仿宋"/>
          <w:color w:val="auto"/>
          <w:szCs w:val="24"/>
          <w:highlight w:val="none"/>
        </w:rPr>
      </w:pPr>
    </w:p>
    <w:p>
      <w:pPr>
        <w:jc w:val="both"/>
        <w:rPr>
          <w:rFonts w:hint="eastAsia" w:ascii="仿宋" w:hAnsi="仿宋" w:eastAsia="仿宋" w:cs="仿宋"/>
          <w:color w:val="auto"/>
          <w:highlight w:val="none"/>
        </w:rPr>
      </w:pPr>
    </w:p>
    <w:p>
      <w:pPr>
        <w:jc w:val="both"/>
        <w:rPr>
          <w:rFonts w:hint="eastAsia" w:ascii="仿宋" w:hAnsi="仿宋" w:eastAsia="仿宋" w:cs="仿宋"/>
          <w:color w:val="auto"/>
          <w:highlight w:val="none"/>
        </w:rPr>
      </w:pPr>
    </w:p>
    <w:p>
      <w:pPr>
        <w:jc w:val="both"/>
        <w:rPr>
          <w:rFonts w:hint="eastAsia" w:ascii="仿宋" w:hAnsi="仿宋" w:eastAsia="仿宋" w:cs="仿宋"/>
          <w:color w:val="auto"/>
          <w:highlight w:val="none"/>
        </w:rPr>
      </w:pPr>
    </w:p>
    <w:p>
      <w:pPr>
        <w:jc w:val="both"/>
        <w:rPr>
          <w:rFonts w:hint="eastAsia" w:ascii="仿宋" w:hAnsi="仿宋" w:eastAsia="仿宋" w:cs="仿宋"/>
          <w:color w:val="auto"/>
          <w:highlight w:val="none"/>
        </w:rPr>
      </w:pPr>
    </w:p>
    <w:p>
      <w:pPr>
        <w:jc w:val="both"/>
        <w:rPr>
          <w:rFonts w:hint="eastAsia" w:ascii="仿宋" w:hAnsi="仿宋" w:eastAsia="仿宋" w:cs="仿宋"/>
          <w:color w:val="auto"/>
          <w:highlight w:val="none"/>
        </w:rPr>
      </w:pPr>
    </w:p>
    <w:p>
      <w:pPr>
        <w:jc w:val="both"/>
        <w:rPr>
          <w:rFonts w:hint="eastAsia" w:ascii="仿宋" w:hAnsi="仿宋" w:eastAsia="仿宋" w:cs="仿宋"/>
          <w:color w:val="auto"/>
          <w:highlight w:val="none"/>
        </w:rPr>
      </w:pPr>
    </w:p>
    <w:p>
      <w:pPr>
        <w:jc w:val="both"/>
        <w:rPr>
          <w:rFonts w:hint="eastAsia" w:ascii="仿宋" w:hAnsi="仿宋" w:eastAsia="仿宋" w:cs="仿宋"/>
          <w:color w:val="auto"/>
          <w:highlight w:val="none"/>
        </w:rPr>
      </w:pPr>
    </w:p>
    <w:p>
      <w:pPr>
        <w:jc w:val="both"/>
        <w:rPr>
          <w:rFonts w:hint="eastAsia" w:ascii="仿宋" w:hAnsi="仿宋" w:eastAsia="仿宋" w:cs="仿宋"/>
          <w:color w:val="auto"/>
          <w:highlight w:val="none"/>
        </w:rPr>
      </w:pPr>
    </w:p>
    <w:p>
      <w:pPr>
        <w:jc w:val="both"/>
        <w:rPr>
          <w:rFonts w:hint="eastAsia" w:ascii="仿宋" w:hAnsi="仿宋" w:eastAsia="仿宋" w:cs="仿宋"/>
          <w:color w:val="auto"/>
          <w:highlight w:val="none"/>
        </w:rPr>
      </w:pPr>
    </w:p>
    <w:p>
      <w:pPr>
        <w:jc w:val="both"/>
        <w:rPr>
          <w:rFonts w:hint="eastAsia" w:ascii="仿宋" w:hAnsi="仿宋" w:eastAsia="仿宋" w:cs="仿宋"/>
          <w:color w:val="auto"/>
          <w:highlight w:val="none"/>
        </w:rPr>
      </w:pPr>
    </w:p>
    <w:p>
      <w:pPr>
        <w:jc w:val="both"/>
        <w:rPr>
          <w:rFonts w:hint="eastAsia" w:ascii="仿宋" w:hAnsi="仿宋" w:eastAsia="仿宋" w:cs="仿宋"/>
          <w:color w:val="auto"/>
          <w:highlight w:val="none"/>
        </w:rPr>
      </w:pPr>
    </w:p>
    <w:p>
      <w:pPr>
        <w:jc w:val="both"/>
        <w:rPr>
          <w:rFonts w:hint="eastAsia" w:ascii="仿宋" w:hAnsi="仿宋" w:eastAsia="仿宋" w:cs="仿宋"/>
          <w:color w:val="auto"/>
          <w:highlight w:val="none"/>
        </w:rPr>
      </w:pPr>
    </w:p>
    <w:p>
      <w:pPr>
        <w:jc w:val="both"/>
        <w:rPr>
          <w:rFonts w:hint="eastAsia" w:ascii="仿宋" w:hAnsi="仿宋" w:eastAsia="仿宋" w:cs="仿宋"/>
          <w:color w:val="auto"/>
          <w:highlight w:val="none"/>
        </w:rPr>
      </w:pPr>
    </w:p>
    <w:p>
      <w:pPr>
        <w:jc w:val="both"/>
        <w:rPr>
          <w:rFonts w:hint="eastAsia" w:ascii="仿宋" w:hAnsi="仿宋" w:eastAsia="仿宋" w:cs="仿宋"/>
          <w:color w:val="auto"/>
          <w:highlight w:val="none"/>
        </w:rPr>
      </w:pPr>
    </w:p>
    <w:p>
      <w:pPr>
        <w:jc w:val="both"/>
        <w:rPr>
          <w:rFonts w:hint="eastAsia" w:ascii="仿宋" w:hAnsi="仿宋" w:eastAsia="仿宋" w:cs="仿宋"/>
          <w:color w:val="auto"/>
          <w:highlight w:val="none"/>
        </w:rPr>
      </w:pPr>
    </w:p>
    <w:p>
      <w:pPr>
        <w:jc w:val="both"/>
        <w:rPr>
          <w:rFonts w:hint="eastAsia" w:ascii="仿宋" w:hAnsi="仿宋" w:eastAsia="仿宋" w:cs="仿宋"/>
          <w:color w:val="auto"/>
          <w:highlight w:val="none"/>
        </w:rPr>
      </w:pPr>
    </w:p>
    <w:p>
      <w:pPr>
        <w:jc w:val="both"/>
        <w:rPr>
          <w:rFonts w:hint="eastAsia" w:ascii="仿宋" w:hAnsi="仿宋" w:eastAsia="仿宋" w:cs="仿宋"/>
          <w:color w:val="auto"/>
          <w:highlight w:val="none"/>
        </w:rPr>
      </w:pPr>
    </w:p>
    <w:p>
      <w:pPr>
        <w:jc w:val="both"/>
        <w:rPr>
          <w:rFonts w:hint="eastAsia" w:ascii="仿宋" w:hAnsi="仿宋" w:eastAsia="仿宋" w:cs="仿宋"/>
          <w:color w:val="auto"/>
          <w:highlight w:val="none"/>
        </w:rPr>
      </w:pPr>
    </w:p>
    <w:tbl>
      <w:tblPr>
        <w:tblStyle w:val="4"/>
        <w:tblW w:w="9653"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42"/>
        <w:gridCol w:w="811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9653" w:type="dxa"/>
            <w:gridSpan w:val="2"/>
            <w:vAlign w:val="center"/>
          </w:tcPr>
          <w:p>
            <w:pPr>
              <w:spacing w:line="340" w:lineRule="exact"/>
              <w:jc w:val="center"/>
              <w:rPr>
                <w:rFonts w:hint="eastAsia" w:ascii="仿宋" w:hAnsi="仿宋" w:eastAsia="仿宋" w:cs="仿宋"/>
                <w:color w:val="auto"/>
                <w:sz w:val="24"/>
                <w:szCs w:val="24"/>
                <w:highlight w:val="none"/>
              </w:rPr>
            </w:pPr>
            <w:r>
              <w:rPr>
                <w:rFonts w:hint="eastAsia" w:ascii="仿宋" w:hAnsi="仿宋" w:eastAsia="仿宋" w:cs="仿宋"/>
                <w:b/>
                <w:color w:val="auto"/>
                <w:sz w:val="24"/>
                <w:szCs w:val="24"/>
                <w:highlight w:val="none"/>
              </w:rPr>
              <w:t>需要补充的其他内容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542" w:type="dxa"/>
            <w:vAlign w:val="center"/>
          </w:tcPr>
          <w:p>
            <w:pPr>
              <w:spacing w:line="340" w:lineRule="exact"/>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条款号</w:t>
            </w:r>
          </w:p>
        </w:tc>
        <w:tc>
          <w:tcPr>
            <w:tcW w:w="8111" w:type="dxa"/>
            <w:vAlign w:val="center"/>
          </w:tcPr>
          <w:p>
            <w:pPr>
              <w:spacing w:line="340" w:lineRule="exact"/>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补充或修改的内容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567" w:hRule="atLeast"/>
          <w:jc w:val="center"/>
        </w:trPr>
        <w:tc>
          <w:tcPr>
            <w:tcW w:w="1542" w:type="dxa"/>
            <w:vAlign w:val="center"/>
          </w:tcPr>
          <w:p>
            <w:pPr>
              <w:spacing w:line="340" w:lineRule="exact"/>
              <w:jc w:val="center"/>
              <w:rPr>
                <w:rFonts w:hint="eastAsia" w:ascii="仿宋" w:hAnsi="仿宋" w:eastAsia="仿宋" w:cs="仿宋"/>
                <w:b/>
                <w:color w:val="auto"/>
                <w:szCs w:val="24"/>
                <w:highlight w:val="none"/>
              </w:rPr>
            </w:pPr>
            <w:r>
              <w:rPr>
                <w:rFonts w:hint="eastAsia" w:ascii="仿宋" w:hAnsi="仿宋" w:eastAsia="仿宋" w:cs="仿宋"/>
                <w:color w:val="auto"/>
                <w:sz w:val="24"/>
                <w:szCs w:val="24"/>
                <w:highlight w:val="none"/>
              </w:rPr>
              <w:t>1</w:t>
            </w:r>
          </w:p>
        </w:tc>
        <w:tc>
          <w:tcPr>
            <w:tcW w:w="8111"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将评标办法范本原文第1 条“评标方法”改为“评标方法、组织及工作程序”，</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并且原文内容修改如下：</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 xml:space="preserve">1 </w:t>
            </w:r>
            <w:r>
              <w:rPr>
                <w:rFonts w:hint="eastAsia" w:ascii="仿宋" w:hAnsi="仿宋" w:eastAsia="仿宋" w:cs="仿宋"/>
                <w:b/>
                <w:bCs/>
                <w:color w:val="auto"/>
                <w:sz w:val="24"/>
                <w:szCs w:val="24"/>
                <w:highlight w:val="none"/>
              </w:rPr>
              <w:t>评标方法、组织及工作程序</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1.1 评标方法</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本次评标采用</w:t>
            </w:r>
            <w:r>
              <w:rPr>
                <w:rFonts w:hint="eastAsia" w:ascii="仿宋" w:hAnsi="仿宋" w:eastAsia="仿宋" w:cs="仿宋"/>
                <w:b/>
                <w:bCs/>
                <w:color w:val="auto"/>
                <w:sz w:val="24"/>
                <w:szCs w:val="24"/>
                <w:highlight w:val="none"/>
                <w:lang w:eastAsia="zh-CN"/>
              </w:rPr>
              <w:t>双信封的综合评分法</w:t>
            </w:r>
            <w:r>
              <w:rPr>
                <w:rFonts w:hint="eastAsia" w:ascii="仿宋" w:hAnsi="仿宋" w:eastAsia="仿宋" w:cs="仿宋"/>
                <w:color w:val="auto"/>
                <w:sz w:val="24"/>
                <w:szCs w:val="24"/>
                <w:highlight w:val="none"/>
              </w:rPr>
              <w:t>。评标委员会对满足招标文件实质性要求的投标文件，按照本章第2.2 款规定的评分标准进行打分，并按得分由高到低顺序推荐中标候选人，但投标报价低于其成本的除外。</w:t>
            </w:r>
            <w:r>
              <w:rPr>
                <w:rFonts w:hint="eastAsia" w:ascii="仿宋" w:hAnsi="仿宋" w:eastAsia="仿宋" w:cs="仿宋"/>
                <w:b/>
                <w:bCs/>
                <w:sz w:val="24"/>
                <w:szCs w:val="24"/>
                <w:highlight w:val="none"/>
              </w:rPr>
              <w:t>综合评分相等时，评标委员会应按照评标办法前附表规定的优先次序推荐中标候选人或确定</w:t>
            </w:r>
            <w:r>
              <w:rPr>
                <w:rFonts w:hint="eastAsia" w:ascii="仿宋" w:hAnsi="仿宋" w:eastAsia="仿宋" w:cs="仿宋"/>
                <w:b/>
                <w:bCs/>
                <w:sz w:val="24"/>
                <w:szCs w:val="24"/>
                <w:highlight w:val="none"/>
                <w:lang w:val="en-US" w:eastAsia="zh-CN"/>
              </w:rPr>
              <w:t>中标人</w:t>
            </w:r>
            <w:r>
              <w:rPr>
                <w:rFonts w:hint="eastAsia" w:ascii="仿宋" w:hAnsi="仿宋" w:eastAsia="仿宋" w:cs="仿宋"/>
                <w:b/>
                <w:bCs/>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1.2 评标组织</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1.2.1 协助工作组</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招标人可在评标工作开始前成立协助工作组，选派熟悉招标工作、政治素质高的人员组成，协助评标委员会工作。协助工作组人员的具体数量由招标人视评标工作量确定。</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招标人可以协助评标委员会开展下列工作并提供相关信息：</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（1）根据招标文件，编制评标使用的相应表格；</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（2）对投标报价进行算术性校核（如采用固化工程量清单，本步骤省略）；</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（3）以评标标准和方法为依据，列出投标文件相对于招标文件的所有偏差，并进行归类汇总；</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4）</w:t>
            </w:r>
            <w:r>
              <w:rPr>
                <w:rFonts w:hint="eastAsia" w:ascii="仿宋" w:hAnsi="仿宋" w:eastAsia="仿宋" w:cs="仿宋"/>
                <w:bCs/>
                <w:sz w:val="24"/>
                <w:szCs w:val="24"/>
                <w:highlight w:val="none"/>
                <w:lang w:val="en-US" w:eastAsia="zh-CN"/>
              </w:rPr>
              <w:t>评标委员会对投标人资质、业绩、主要人员资历和目前在岗情况、信用等级等信息进行审核</w:t>
            </w:r>
            <w:r>
              <w:rPr>
                <w:rFonts w:hint="eastAsia" w:ascii="仿宋" w:hAnsi="仿宋" w:eastAsia="仿宋" w:cs="仿宋"/>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招标人不得对投标文件作出任何评价，不得故意遗漏或者片面摘录，不得在评标委员会对所有偏差定性之前透露存有偏差的投标人名称。</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1.2.2 评标委员会</w:t>
            </w:r>
          </w:p>
          <w:p>
            <w:pPr>
              <w:spacing w:line="312"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评标委员会由招标人按国家和广东省的有关规定依法组建，由招标人的代表和技术、经济专家组成。</w:t>
            </w:r>
            <w:r>
              <w:rPr>
                <w:rFonts w:hint="eastAsia" w:ascii="仿宋" w:hAnsi="仿宋" w:eastAsia="仿宋" w:cs="仿宋"/>
                <w:b/>
                <w:color w:val="auto"/>
                <w:sz w:val="24"/>
                <w:szCs w:val="24"/>
                <w:highlight w:val="none"/>
              </w:rPr>
              <w:t>评标委员人数为</w:t>
            </w:r>
            <w:r>
              <w:rPr>
                <w:rFonts w:hint="eastAsia" w:ascii="仿宋" w:hAnsi="仿宋" w:eastAsia="仿宋" w:cs="仿宋"/>
                <w:b/>
                <w:color w:val="auto"/>
                <w:sz w:val="24"/>
                <w:szCs w:val="24"/>
                <w:highlight w:val="none"/>
                <w:lang w:val="en-US" w:eastAsia="zh-CN"/>
              </w:rPr>
              <w:t>9</w:t>
            </w:r>
            <w:r>
              <w:rPr>
                <w:rFonts w:hint="eastAsia" w:ascii="仿宋" w:hAnsi="仿宋" w:eastAsia="仿宋" w:cs="仿宋"/>
                <w:b/>
                <w:color w:val="auto"/>
                <w:sz w:val="24"/>
                <w:szCs w:val="24"/>
                <w:highlight w:val="none"/>
              </w:rPr>
              <w:t>人</w:t>
            </w:r>
            <w:r>
              <w:rPr>
                <w:rFonts w:hint="eastAsia" w:ascii="仿宋" w:hAnsi="仿宋" w:eastAsia="仿宋" w:cs="仿宋"/>
                <w:b/>
                <w:color w:val="auto"/>
                <w:sz w:val="24"/>
                <w:szCs w:val="24"/>
                <w:highlight w:val="none"/>
                <w:lang w:eastAsia="zh-CN"/>
              </w:rPr>
              <w:t>，</w:t>
            </w:r>
            <w:r>
              <w:rPr>
                <w:rFonts w:hint="eastAsia" w:ascii="仿宋" w:hAnsi="仿宋" w:eastAsia="仿宋" w:cs="仿宋"/>
                <w:color w:val="auto"/>
                <w:sz w:val="24"/>
                <w:szCs w:val="24"/>
                <w:highlight w:val="none"/>
              </w:rPr>
              <w:t>其中招标人代表</w:t>
            </w:r>
            <w:r>
              <w:rPr>
                <w:rFonts w:hint="eastAsia" w:ascii="仿宋" w:hAnsi="仿宋" w:eastAsia="仿宋" w:cs="仿宋"/>
                <w:color w:val="auto"/>
                <w:sz w:val="24"/>
                <w:szCs w:val="24"/>
                <w:highlight w:val="none"/>
                <w:u w:val="single"/>
              </w:rPr>
              <w:t>1</w:t>
            </w:r>
            <w:r>
              <w:rPr>
                <w:rFonts w:hint="eastAsia" w:ascii="仿宋" w:hAnsi="仿宋" w:eastAsia="仿宋" w:cs="仿宋"/>
                <w:color w:val="auto"/>
                <w:sz w:val="24"/>
                <w:szCs w:val="24"/>
                <w:highlight w:val="none"/>
              </w:rPr>
              <w:t>人，专家</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8 </w:t>
            </w:r>
            <w:r>
              <w:rPr>
                <w:rFonts w:hint="eastAsia" w:ascii="仿宋" w:hAnsi="仿宋" w:eastAsia="仿宋" w:cs="仿宋"/>
                <w:color w:val="auto"/>
                <w:sz w:val="24"/>
                <w:szCs w:val="24"/>
                <w:highlight w:val="none"/>
              </w:rPr>
              <w:t>人</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评标委员会的主要工作内容包括：</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（1）评标委员会开始评标工作之前，首先听取招标人、协助工作组关于工程情况和辅助工作的说明，并认真研读招标文件，获取评标所需的重要信息和数据；</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（2）对协助工作组提供的评标工作用表和评标内容进行核查；</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（3）按照以下1.3 款程序进行各项评审工作。</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1.3 评审工作程序</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评标委员会将按以下程序开展评标工作：</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（一）第一信封（商务文件和技术文件）的评审：</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right="0" w:rightChars="0" w:firstLine="720" w:firstLineChars="3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初步评审：包括</w:t>
            </w:r>
            <w:r>
              <w:rPr>
                <w:rFonts w:hint="eastAsia" w:ascii="仿宋" w:hAnsi="仿宋" w:eastAsia="仿宋" w:cs="仿宋"/>
                <w:color w:val="auto"/>
                <w:sz w:val="24"/>
                <w:szCs w:val="24"/>
                <w:highlight w:val="none"/>
                <w:lang w:val="en-US" w:eastAsia="zh-CN"/>
              </w:rPr>
              <w:t>对投标文件进行</w:t>
            </w:r>
            <w:r>
              <w:rPr>
                <w:rFonts w:hint="eastAsia" w:ascii="仿宋" w:hAnsi="仿宋" w:eastAsia="仿宋" w:cs="仿宋"/>
                <w:color w:val="auto"/>
                <w:sz w:val="24"/>
                <w:szCs w:val="24"/>
                <w:highlight w:val="none"/>
              </w:rPr>
              <w:t>形式评审与响应性评审、资格评审（适用于</w:t>
            </w:r>
            <w:r>
              <w:rPr>
                <w:rFonts w:hint="eastAsia" w:ascii="仿宋" w:hAnsi="仿宋" w:eastAsia="仿宋" w:cs="仿宋"/>
                <w:color w:val="auto"/>
                <w:sz w:val="24"/>
                <w:szCs w:val="24"/>
                <w:highlight w:val="none"/>
                <w:lang w:eastAsia="zh-CN"/>
              </w:rPr>
              <w:t>未进行资格预审</w:t>
            </w:r>
            <w:r>
              <w:rPr>
                <w:rFonts w:hint="eastAsia" w:ascii="仿宋" w:hAnsi="仿宋" w:eastAsia="仿宋" w:cs="仿宋"/>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right="0" w:rightChars="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rPr>
              <w:t>详细评审（评审打分）：评标委员会首先对通过初步评审的投标文件第一个信封（商务及技术文件）进行详细评审，对投标人的</w:t>
            </w:r>
            <w:r>
              <w:rPr>
                <w:rFonts w:hint="eastAsia" w:ascii="仿宋" w:hAnsi="仿宋" w:eastAsia="仿宋" w:cs="仿宋"/>
                <w:color w:val="auto"/>
                <w:sz w:val="24"/>
                <w:szCs w:val="24"/>
                <w:highlight w:val="none"/>
                <w:lang w:val="en-US" w:eastAsia="zh-CN"/>
              </w:rPr>
              <w:t>施工组织设计、只要人员、</w:t>
            </w:r>
            <w:r>
              <w:rPr>
                <w:rFonts w:hint="eastAsia" w:ascii="仿宋" w:hAnsi="仿宋" w:eastAsia="仿宋" w:cs="仿宋"/>
                <w:color w:val="auto"/>
                <w:sz w:val="24"/>
                <w:szCs w:val="24"/>
                <w:highlight w:val="none"/>
              </w:rPr>
              <w:t>其他因素</w:t>
            </w:r>
            <w:r>
              <w:rPr>
                <w:rFonts w:hint="eastAsia" w:ascii="仿宋" w:hAnsi="仿宋" w:eastAsia="仿宋" w:cs="仿宋"/>
                <w:color w:val="auto"/>
                <w:sz w:val="24"/>
                <w:szCs w:val="24"/>
                <w:highlight w:val="none"/>
                <w:lang w:val="en-US" w:eastAsia="zh-CN"/>
              </w:rPr>
              <w:t>等分别评审打分</w:t>
            </w:r>
            <w:r>
              <w:rPr>
                <w:rFonts w:hint="eastAsia" w:ascii="仿宋" w:hAnsi="仿宋" w:eastAsia="仿宋" w:cs="仿宋"/>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（二）第二信封（报价文件）的评审：</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初步评审</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只有投标文件第一个信封通过</w:t>
            </w:r>
            <w:r>
              <w:rPr>
                <w:rFonts w:hint="eastAsia" w:ascii="仿宋" w:hAnsi="仿宋" w:eastAsia="仿宋" w:cs="仿宋"/>
                <w:b w:val="0"/>
                <w:bCs w:val="0"/>
                <w:color w:val="auto"/>
                <w:sz w:val="24"/>
                <w:szCs w:val="24"/>
                <w:highlight w:val="none"/>
                <w:lang w:val="en-US" w:eastAsia="zh-CN"/>
              </w:rPr>
              <w:t>详细</w:t>
            </w:r>
            <w:r>
              <w:rPr>
                <w:rFonts w:hint="eastAsia" w:ascii="仿宋" w:hAnsi="仿宋" w:eastAsia="仿宋" w:cs="仿宋"/>
                <w:b w:val="0"/>
                <w:bCs w:val="0"/>
                <w:color w:val="auto"/>
                <w:sz w:val="24"/>
                <w:szCs w:val="24"/>
                <w:highlight w:val="none"/>
              </w:rPr>
              <w:t>评审</w:t>
            </w:r>
            <w:r>
              <w:rPr>
                <w:rFonts w:hint="eastAsia" w:ascii="仿宋" w:hAnsi="仿宋" w:eastAsia="仿宋" w:cs="仿宋"/>
                <w:color w:val="auto"/>
                <w:sz w:val="24"/>
                <w:szCs w:val="24"/>
                <w:highlight w:val="none"/>
              </w:rPr>
              <w:t>的投标人才能继续参加第二信封报价文件的</w:t>
            </w:r>
            <w:r>
              <w:rPr>
                <w:rFonts w:hint="eastAsia" w:ascii="仿宋" w:hAnsi="仿宋" w:eastAsia="仿宋" w:cs="仿宋"/>
                <w:color w:val="auto"/>
                <w:sz w:val="24"/>
                <w:szCs w:val="24"/>
                <w:highlight w:val="none"/>
                <w:lang w:val="en-US" w:eastAsia="zh-CN"/>
              </w:rPr>
              <w:t>形式评审与响应性评审</w:t>
            </w:r>
            <w:r>
              <w:rPr>
                <w:rFonts w:hint="eastAsia" w:ascii="仿宋" w:hAnsi="仿宋" w:eastAsia="仿宋" w:cs="仿宋"/>
                <w:color w:val="auto"/>
                <w:sz w:val="24"/>
                <w:szCs w:val="24"/>
                <w:highlight w:val="none"/>
              </w:rPr>
              <w:t>。对第一个信封不通过初步评审的投标人的第二信封直接退回，不再开启内层信封。</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进行算术性修正（如采用固化工程量清单，本步骤省略）</w:t>
            </w:r>
            <w:r>
              <w:rPr>
                <w:rFonts w:hint="eastAsia" w:ascii="仿宋" w:hAnsi="仿宋" w:eastAsia="仿宋" w:cs="仿宋"/>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详细评审：计算评标基准价</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评标价得分</w:t>
            </w:r>
            <w:r>
              <w:rPr>
                <w:rFonts w:hint="eastAsia" w:ascii="仿宋" w:hAnsi="仿宋" w:eastAsia="仿宋" w:cs="仿宋"/>
                <w:color w:val="auto"/>
                <w:sz w:val="24"/>
                <w:szCs w:val="24"/>
                <w:highlight w:val="none"/>
                <w:lang w:val="en-US" w:eastAsia="zh-CN"/>
              </w:rPr>
              <w:t>及综合得分。</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（三）投标文件相关信息的核查。</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（四</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对投标文件进行必要的澄清和说明（如有）；</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（五）按评标办法规定推荐中标候选人，编写评标报告。</w:t>
            </w:r>
          </w:p>
          <w:p>
            <w:pPr>
              <w:keepNext w:val="0"/>
              <w:keepLines w:val="0"/>
              <w:pageBreakBefore w:val="0"/>
              <w:widowControl w:val="0"/>
              <w:numPr>
                <w:ilvl w:val="0"/>
                <w:numId w:val="0"/>
              </w:numPr>
              <w:kinsoku/>
              <w:wordWrap/>
              <w:overflowPunct/>
              <w:topLinePunct w:val="0"/>
              <w:bidi w:val="0"/>
              <w:adjustRightInd/>
              <w:snapToGrid/>
              <w:spacing w:before="0" w:beforeLines="0" w:after="0" w:afterLines="0" w:line="400" w:lineRule="exact"/>
              <w:ind w:leftChars="0" w:right="0" w:rightChars="0"/>
              <w:jc w:val="left"/>
              <w:textAlignment w:val="auto"/>
              <w:outlineLvl w:val="9"/>
              <w:rPr>
                <w:rFonts w:hint="eastAsia" w:ascii="仿宋" w:hAnsi="仿宋" w:eastAsia="仿宋" w:cs="仿宋"/>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105" w:hRule="atLeast"/>
          <w:jc w:val="center"/>
        </w:trPr>
        <w:tc>
          <w:tcPr>
            <w:tcW w:w="1542" w:type="dxa"/>
            <w:vAlign w:val="center"/>
          </w:tcPr>
          <w:p>
            <w:pPr>
              <w:spacing w:line="34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3.1.1</w:t>
            </w:r>
          </w:p>
        </w:tc>
        <w:tc>
          <w:tcPr>
            <w:tcW w:w="8111" w:type="dxa"/>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将评标办法范本原文第3.1.1款修改为：</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b/>
                <w:bCs/>
                <w:color w:val="auto"/>
                <w:szCs w:val="24"/>
                <w:highlight w:val="none"/>
              </w:rPr>
            </w:pPr>
            <w:r>
              <w:rPr>
                <w:rFonts w:hint="eastAsia" w:ascii="仿宋" w:hAnsi="仿宋" w:eastAsia="仿宋" w:cs="仿宋"/>
                <w:sz w:val="24"/>
                <w:szCs w:val="24"/>
                <w:highlight w:val="none"/>
              </w:rPr>
              <w:t>投标人按照第二章“投标人须知前附表”的3.5.1、3.5.3～3.5.5要求提供相应资料，评标委员会依据本章第2.1款规定的标准对投标文件第一个信封（商务及技术文件）进行初步评审。有一项不符合评审标准的，评标委员会应否决其投标。（适用于未进行资格预审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82" w:hRule="atLeast"/>
          <w:jc w:val="center"/>
        </w:trPr>
        <w:tc>
          <w:tcPr>
            <w:tcW w:w="1542" w:type="dxa"/>
            <w:vAlign w:val="center"/>
          </w:tcPr>
          <w:p>
            <w:pPr>
              <w:spacing w:line="34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3.2.3</w:t>
            </w:r>
          </w:p>
        </w:tc>
        <w:tc>
          <w:tcPr>
            <w:tcW w:w="8111"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sz w:val="24"/>
                <w:szCs w:val="24"/>
                <w:highlight w:val="none"/>
              </w:rPr>
            </w:pPr>
            <w:r>
              <w:rPr>
                <w:rFonts w:hint="eastAsia" w:ascii="仿宋" w:hAnsi="仿宋" w:eastAsia="仿宋" w:cs="仿宋"/>
                <w:sz w:val="24"/>
                <w:szCs w:val="24"/>
                <w:highlight w:val="none"/>
              </w:rPr>
              <w:t>将评标办法范本原文第 3.2.3 项细化如下：</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rPr>
              <w:t>投标人的商务和技术得分=A+B+D。</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rPr>
              <w:t>除评标价、技术能力、履约信誉得分外，投标文件各评分因素细分项得分均不应低于其权重分的60%，评分低于权重分值60%的，评标委员会成员应当在评标报告中作出说明。计算投标人技术得分时:首先在评委技术评分中，同一评委对各投标人评分总分的差值最大的评委评分进行取舍（当一位或两位评委评分差值最大时均取消其评委评分，当多于两位评分差值均最大时，不取消任一评委评分），再对各评分因素细分项中取消一个最高、一个最低分后计算算术平均值的和为投标人的最终技术得分，平均值计算四舍五入保留小数点后三位。</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82" w:hRule="atLeast"/>
          <w:jc w:val="center"/>
        </w:trPr>
        <w:tc>
          <w:tcPr>
            <w:tcW w:w="1542" w:type="dxa"/>
            <w:vAlign w:val="center"/>
          </w:tcPr>
          <w:p>
            <w:pPr>
              <w:spacing w:line="34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3.4.2</w:t>
            </w:r>
          </w:p>
        </w:tc>
        <w:tc>
          <w:tcPr>
            <w:tcW w:w="8111" w:type="dxa"/>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将评标办法范本原文第</w:t>
            </w:r>
            <w:r>
              <w:rPr>
                <w:rFonts w:hint="eastAsia" w:ascii="仿宋" w:hAnsi="仿宋" w:eastAsia="仿宋" w:cs="仿宋"/>
                <w:sz w:val="24"/>
                <w:szCs w:val="24"/>
                <w:highlight w:val="none"/>
                <w:lang w:val="en-US" w:eastAsia="zh-CN"/>
              </w:rPr>
              <w:t>3.4.2</w:t>
            </w:r>
            <w:r>
              <w:rPr>
                <w:rFonts w:hint="eastAsia" w:ascii="仿宋" w:hAnsi="仿宋" w:eastAsia="仿宋" w:cs="仿宋"/>
                <w:sz w:val="24"/>
                <w:szCs w:val="24"/>
                <w:highlight w:val="none"/>
              </w:rPr>
              <w:t>款修改为：</w:t>
            </w:r>
          </w:p>
          <w:p>
            <w:pPr>
              <w:pStyle w:val="7"/>
              <w:numPr>
                <w:ilvl w:val="0"/>
                <w:numId w:val="0"/>
              </w:numPr>
              <w:tabs>
                <w:tab w:val="left" w:pos="1505"/>
              </w:tabs>
              <w:spacing w:before="0" w:beforeLines="0" w:after="0" w:afterLines="0" w:line="307" w:lineRule="exact"/>
              <w:ind w:left="0" w:leftChars="0" w:right="0" w:rightChars="0" w:firstLine="0" w:firstLineChars="0"/>
              <w:jc w:val="left"/>
              <w:rPr>
                <w:rFonts w:hint="eastAsia" w:ascii="仿宋" w:hAnsi="仿宋" w:eastAsia="仿宋" w:cs="仿宋"/>
                <w:sz w:val="24"/>
                <w:szCs w:val="24"/>
                <w:highlight w:val="none"/>
                <w:lang w:val="en-US" w:eastAsia="zh-CN" w:bidi="ar-SA"/>
              </w:rPr>
            </w:pPr>
            <w:r>
              <w:rPr>
                <w:rFonts w:hint="eastAsia" w:ascii="仿宋" w:hAnsi="仿宋" w:eastAsia="仿宋" w:cs="仿宋"/>
                <w:sz w:val="24"/>
                <w:szCs w:val="24"/>
                <w:highlight w:val="none"/>
                <w:lang w:val="en-US" w:eastAsia="zh-CN" w:bidi="ar-SA"/>
              </w:rPr>
              <w:t>投标人得分分值计算保留小数点</w:t>
            </w:r>
            <w:r>
              <w:rPr>
                <w:rFonts w:hint="eastAsia" w:ascii="仿宋" w:hAnsi="仿宋" w:eastAsia="仿宋" w:cs="仿宋"/>
                <w:b/>
                <w:bCs/>
                <w:sz w:val="24"/>
                <w:szCs w:val="24"/>
                <w:highlight w:val="none"/>
                <w:lang w:val="en-US" w:eastAsia="zh-CN" w:bidi="ar-SA"/>
              </w:rPr>
              <w:t>后四位，小数点后第五位“四舍五入”</w:t>
            </w:r>
            <w:r>
              <w:rPr>
                <w:rFonts w:hint="eastAsia" w:ascii="仿宋" w:hAnsi="仿宋" w:eastAsia="仿宋" w:cs="仿宋"/>
                <w:sz w:val="24"/>
                <w:szCs w:val="24"/>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both"/>
              <w:textAlignment w:val="auto"/>
              <w:outlineLvl w:val="9"/>
              <w:rPr>
                <w:rFonts w:hint="eastAsia" w:ascii="仿宋" w:hAnsi="仿宋" w:eastAsia="仿宋" w:cs="仿宋"/>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20" w:hRule="atLeast"/>
          <w:jc w:val="center"/>
        </w:trPr>
        <w:tc>
          <w:tcPr>
            <w:tcW w:w="1542" w:type="dxa"/>
            <w:vAlign w:val="center"/>
          </w:tcPr>
          <w:p>
            <w:pPr>
              <w:spacing w:line="400" w:lineRule="atLeast"/>
              <w:jc w:val="center"/>
              <w:rPr>
                <w:rFonts w:hint="eastAsia" w:ascii="仿宋" w:hAnsi="仿宋" w:eastAsia="仿宋" w:cs="仿宋"/>
                <w:color w:val="auto"/>
                <w:sz w:val="24"/>
                <w:szCs w:val="24"/>
                <w:highlight w:val="none"/>
                <w:lang w:val="en-US" w:eastAsia="zh-CN"/>
              </w:rPr>
            </w:pPr>
            <w:r>
              <w:rPr>
                <w:rFonts w:hint="eastAsia" w:ascii="仿宋" w:hAnsi="仿宋" w:eastAsia="仿宋" w:cs="仿宋"/>
                <w:sz w:val="24"/>
                <w:szCs w:val="24"/>
                <w:highlight w:val="none"/>
              </w:rPr>
              <w:t>3.</w:t>
            </w:r>
            <w:r>
              <w:rPr>
                <w:rFonts w:hint="eastAsia" w:ascii="仿宋" w:hAnsi="仿宋" w:eastAsia="仿宋" w:cs="仿宋"/>
                <w:sz w:val="24"/>
                <w:szCs w:val="24"/>
                <w:highlight w:val="none"/>
                <w:lang w:val="en-US" w:eastAsia="zh-CN"/>
              </w:rPr>
              <w:t>6</w:t>
            </w:r>
            <w:r>
              <w:rPr>
                <w:rFonts w:hint="eastAsia" w:ascii="仿宋" w:hAnsi="仿宋" w:eastAsia="仿宋" w:cs="仿宋"/>
                <w:sz w:val="24"/>
                <w:szCs w:val="24"/>
                <w:highlight w:val="none"/>
              </w:rPr>
              <w:t>.1</w:t>
            </w:r>
          </w:p>
        </w:tc>
        <w:tc>
          <w:tcPr>
            <w:tcW w:w="8111" w:type="dxa"/>
            <w:vAlign w:val="center"/>
          </w:tcPr>
          <w:p>
            <w:pPr>
              <w:spacing w:line="400" w:lineRule="atLeast"/>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将评标办法范本原文第3.</w:t>
            </w:r>
            <w:r>
              <w:rPr>
                <w:rFonts w:hint="eastAsia" w:ascii="仿宋" w:hAnsi="仿宋" w:eastAsia="仿宋" w:cs="仿宋"/>
                <w:sz w:val="24"/>
                <w:szCs w:val="24"/>
                <w:highlight w:val="none"/>
                <w:lang w:val="en-US" w:eastAsia="zh-CN"/>
              </w:rPr>
              <w:t>6</w:t>
            </w:r>
            <w:r>
              <w:rPr>
                <w:rFonts w:hint="eastAsia" w:ascii="仿宋" w:hAnsi="仿宋" w:eastAsia="仿宋" w:cs="仿宋"/>
                <w:sz w:val="24"/>
                <w:szCs w:val="24"/>
                <w:highlight w:val="none"/>
              </w:rPr>
              <w:t>.1款修改为：</w:t>
            </w:r>
          </w:p>
          <w:p>
            <w:pPr>
              <w:spacing w:line="400" w:lineRule="atLeast"/>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评标过程中，评标委员会对投标人</w:t>
            </w:r>
            <w:r>
              <w:rPr>
                <w:rFonts w:hint="eastAsia" w:ascii="仿宋" w:hAnsi="仿宋" w:eastAsia="仿宋" w:cs="仿宋"/>
                <w:sz w:val="24"/>
                <w:szCs w:val="24"/>
                <w:highlight w:val="none"/>
              </w:rPr>
              <w:t>按照第二章“投标人须知前附表”3.5.1、3.5.3～3.5.5要求提供相应资料</w:t>
            </w:r>
            <w:r>
              <w:rPr>
                <w:rFonts w:hint="eastAsia" w:ascii="仿宋" w:hAnsi="仿宋" w:eastAsia="仿宋" w:cs="仿宋"/>
                <w:sz w:val="24"/>
                <w:szCs w:val="24"/>
                <w:highlight w:val="none"/>
                <w:lang w:val="en-US" w:eastAsia="zh-CN"/>
              </w:rPr>
              <w:t>进行评审，如提供虚假材料使得投标人资格条件不符合招标文件规定的，评标委员会应否决其投标</w:t>
            </w:r>
            <w:r>
              <w:rPr>
                <w:rFonts w:hint="eastAsia" w:ascii="仿宋" w:hAnsi="仿宋" w:eastAsia="仿宋" w:cs="仿宋"/>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20" w:hRule="atLeast"/>
          <w:jc w:val="center"/>
        </w:trPr>
        <w:tc>
          <w:tcPr>
            <w:tcW w:w="1542" w:type="dxa"/>
            <w:vAlign w:val="center"/>
          </w:tcPr>
          <w:p>
            <w:pPr>
              <w:spacing w:line="400" w:lineRule="atLeast"/>
              <w:jc w:val="cente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3.6</w:t>
            </w:r>
          </w:p>
        </w:tc>
        <w:tc>
          <w:tcPr>
            <w:tcW w:w="8111" w:type="dxa"/>
            <w:vAlign w:val="center"/>
          </w:tcPr>
          <w:p>
            <w:pPr>
              <w:spacing w:line="400" w:lineRule="atLeast"/>
              <w:ind w:firstLine="480" w:firstLineChars="200"/>
              <w:jc w:val="lef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增加 3.6.3 项：</w:t>
            </w:r>
          </w:p>
          <w:p>
            <w:pPr>
              <w:spacing w:line="400" w:lineRule="atLeast"/>
              <w:ind w:firstLine="480" w:firstLineChars="200"/>
              <w:jc w:val="lef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3.6.3 依法必须进行招标的项目，除第一中标候选人或者中标人，其他投标人存在通投标、弄虚作假、行贿情形且在评标过程中未被发现的，视为对中标结果没有造成实质性影响，招标人可以依法继续开展招标活动。投标人的违法行为由行政监督部门依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371" w:hRule="atLeast"/>
          <w:jc w:val="center"/>
        </w:trPr>
        <w:tc>
          <w:tcPr>
            <w:tcW w:w="1542"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480" w:firstLineChars="200"/>
              <w:jc w:val="center"/>
              <w:textAlignment w:val="auto"/>
              <w:outlineLvl w:val="9"/>
              <w:rPr>
                <w:rFonts w:hint="eastAsia" w:ascii="仿宋" w:hAnsi="仿宋" w:eastAsia="仿宋" w:cs="仿宋"/>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480" w:firstLineChars="200"/>
              <w:jc w:val="center"/>
              <w:textAlignment w:val="auto"/>
              <w:outlineLvl w:val="9"/>
              <w:rPr>
                <w:rFonts w:hint="eastAsia" w:ascii="仿宋" w:hAnsi="仿宋" w:eastAsia="仿宋" w:cs="仿宋"/>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r>
              <w:rPr>
                <w:rFonts w:hint="eastAsia" w:ascii="仿宋" w:hAnsi="仿宋" w:eastAsia="仿宋" w:cs="仿宋"/>
                <w:color w:val="auto"/>
                <w:sz w:val="24"/>
                <w:szCs w:val="24"/>
                <w:highlight w:val="none"/>
                <w:lang w:val="en-US" w:eastAsia="zh-CN"/>
              </w:rPr>
              <w:t>9</w:t>
            </w:r>
          </w:p>
        </w:tc>
        <w:tc>
          <w:tcPr>
            <w:tcW w:w="8111" w:type="dxa"/>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sz w:val="24"/>
                <w:szCs w:val="24"/>
                <w:highlight w:val="none"/>
                <w:lang w:val="en-US" w:eastAsia="zh-CN"/>
              </w:rPr>
              <w:t>增加3.9.3-3.9.6项</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r>
              <w:rPr>
                <w:rFonts w:hint="eastAsia" w:ascii="仿宋" w:hAnsi="仿宋" w:eastAsia="仿宋" w:cs="仿宋"/>
                <w:color w:val="auto"/>
                <w:sz w:val="24"/>
                <w:szCs w:val="24"/>
                <w:highlight w:val="none"/>
                <w:lang w:val="en-US" w:eastAsia="zh-CN"/>
              </w:rPr>
              <w:t>9</w:t>
            </w:r>
            <w:r>
              <w:rPr>
                <w:rFonts w:hint="eastAsia" w:ascii="仿宋" w:hAnsi="仿宋" w:eastAsia="仿宋" w:cs="仿宋"/>
                <w:color w:val="auto"/>
                <w:sz w:val="24"/>
                <w:szCs w:val="24"/>
                <w:highlight w:val="none"/>
              </w:rPr>
              <w:t xml:space="preserve">.3 </w:t>
            </w:r>
            <w:r>
              <w:rPr>
                <w:rFonts w:hint="eastAsia" w:ascii="仿宋" w:hAnsi="仿宋" w:eastAsia="仿宋" w:cs="仿宋"/>
                <w:color w:val="auto"/>
                <w:sz w:val="24"/>
                <w:szCs w:val="24"/>
                <w:highlight w:val="none"/>
                <w:lang w:val="en-US" w:eastAsia="zh-CN"/>
              </w:rPr>
              <w:t>投标人在所投多个标段中只能中1个标，如果同一个投标人同时在2个或以上标段的综合得分排名第一，则评标委员会推荐该投标人在最高评标限价高的标段为第一中标候选人，该投标人自动失去其它标段中标候选人的资格。</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r>
              <w:rPr>
                <w:rFonts w:hint="eastAsia" w:ascii="仿宋" w:hAnsi="仿宋" w:eastAsia="仿宋" w:cs="仿宋"/>
                <w:color w:val="auto"/>
                <w:sz w:val="24"/>
                <w:szCs w:val="24"/>
                <w:highlight w:val="none"/>
                <w:lang w:val="en-US" w:eastAsia="zh-CN"/>
              </w:rPr>
              <w:t>9</w:t>
            </w:r>
            <w:r>
              <w:rPr>
                <w:rFonts w:hint="eastAsia" w:ascii="仿宋" w:hAnsi="仿宋" w:eastAsia="仿宋" w:cs="仿宋"/>
                <w:color w:val="auto"/>
                <w:sz w:val="24"/>
                <w:szCs w:val="24"/>
                <w:highlight w:val="none"/>
              </w:rPr>
              <w:t xml:space="preserve">.4 </w:t>
            </w:r>
            <w:r>
              <w:rPr>
                <w:rFonts w:hint="eastAsia" w:ascii="仿宋" w:hAnsi="仿宋" w:eastAsia="仿宋" w:cs="仿宋"/>
                <w:b/>
                <w:bCs/>
                <w:color w:val="auto"/>
                <w:sz w:val="24"/>
                <w:szCs w:val="24"/>
                <w:highlight w:val="none"/>
                <w:u w:val="none"/>
                <w:lang w:val="en-US" w:eastAsia="zh-CN"/>
              </w:rPr>
              <w:t>每标段</w:t>
            </w:r>
            <w:r>
              <w:rPr>
                <w:rFonts w:hint="eastAsia" w:ascii="仿宋" w:hAnsi="仿宋" w:eastAsia="仿宋" w:cs="仿宋"/>
                <w:b/>
                <w:bCs/>
                <w:color w:val="auto"/>
                <w:sz w:val="24"/>
                <w:szCs w:val="24"/>
                <w:highlight w:val="none"/>
              </w:rPr>
              <w:t>通过第一信封商务文件和技术文件评审的投标人少于3 个的，评标委员会可以否决</w:t>
            </w:r>
            <w:r>
              <w:rPr>
                <w:rFonts w:hint="eastAsia" w:ascii="仿宋" w:hAnsi="仿宋" w:eastAsia="仿宋" w:cs="仿宋"/>
                <w:b/>
                <w:bCs/>
                <w:color w:val="auto"/>
                <w:sz w:val="24"/>
                <w:szCs w:val="24"/>
                <w:highlight w:val="none"/>
                <w:lang w:val="en-US" w:eastAsia="zh-CN"/>
              </w:rPr>
              <w:t>本标段</w:t>
            </w:r>
            <w:r>
              <w:rPr>
                <w:rFonts w:hint="eastAsia" w:ascii="仿宋" w:hAnsi="仿宋" w:eastAsia="仿宋" w:cs="仿宋"/>
                <w:b/>
                <w:bCs/>
                <w:color w:val="auto"/>
                <w:sz w:val="24"/>
                <w:szCs w:val="24"/>
                <w:highlight w:val="none"/>
              </w:rPr>
              <w:t>全部投标</w:t>
            </w:r>
            <w:r>
              <w:rPr>
                <w:rFonts w:hint="eastAsia" w:ascii="仿宋" w:hAnsi="仿宋" w:eastAsia="仿宋" w:cs="仿宋"/>
                <w:color w:val="auto"/>
                <w:sz w:val="24"/>
                <w:szCs w:val="24"/>
                <w:highlight w:val="none"/>
              </w:rPr>
              <w:t>；未否决全部投标的，评标委员会应当在评标报告中阐明理由，招标人应当按照招标文件规定的程序进行第二信封报价文件开标，但评标委员会在进行报价文件评审时仍有权否决全部投标；评标委员会未在报价文件评审时否决全部投标的，应当在评标报告中阐明理由并推荐中标候选人。</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r>
              <w:rPr>
                <w:rFonts w:hint="eastAsia" w:ascii="仿宋" w:hAnsi="仿宋" w:eastAsia="仿宋" w:cs="仿宋"/>
                <w:color w:val="auto"/>
                <w:sz w:val="24"/>
                <w:szCs w:val="24"/>
                <w:highlight w:val="none"/>
                <w:lang w:val="en-US" w:eastAsia="zh-CN"/>
              </w:rPr>
              <w:t>9</w:t>
            </w:r>
            <w:r>
              <w:rPr>
                <w:rFonts w:hint="eastAsia" w:ascii="仿宋" w:hAnsi="仿宋" w:eastAsia="仿宋" w:cs="仿宋"/>
                <w:color w:val="auto"/>
                <w:sz w:val="24"/>
                <w:szCs w:val="24"/>
                <w:highlight w:val="none"/>
              </w:rPr>
              <w:t xml:space="preserve">.5 </w:t>
            </w:r>
            <w:r>
              <w:rPr>
                <w:rFonts w:hint="eastAsia" w:ascii="仿宋" w:hAnsi="仿宋" w:eastAsia="仿宋" w:cs="仿宋"/>
                <w:color w:val="auto"/>
                <w:sz w:val="24"/>
                <w:szCs w:val="24"/>
                <w:highlight w:val="none"/>
                <w:u w:val="single"/>
                <w:lang w:val="en-US" w:eastAsia="zh-CN"/>
              </w:rPr>
              <w:t>每标段</w:t>
            </w:r>
            <w:r>
              <w:rPr>
                <w:rFonts w:hint="eastAsia" w:ascii="仿宋" w:hAnsi="仿宋" w:eastAsia="仿宋" w:cs="仿宋"/>
                <w:color w:val="auto"/>
                <w:sz w:val="24"/>
                <w:szCs w:val="24"/>
                <w:highlight w:val="none"/>
              </w:rPr>
              <w:t>通过第一信封商务文件和技术文件评审的投标人在3 个及以上的，招标人应当按照招标文件规定的程序进行第二信封报价文件开标；</w:t>
            </w:r>
            <w:r>
              <w:rPr>
                <w:rFonts w:hint="eastAsia" w:ascii="仿宋" w:hAnsi="仿宋" w:eastAsia="仿宋" w:cs="仿宋"/>
                <w:b/>
                <w:bCs/>
                <w:color w:val="auto"/>
                <w:sz w:val="24"/>
                <w:szCs w:val="24"/>
                <w:highlight w:val="none"/>
              </w:rPr>
              <w:t>在对报价文件进行评审后，有效投标不足3 个的，评标委员会可以否决</w:t>
            </w:r>
            <w:r>
              <w:rPr>
                <w:rFonts w:hint="eastAsia" w:ascii="仿宋" w:hAnsi="仿宋" w:eastAsia="仿宋" w:cs="仿宋"/>
                <w:b/>
                <w:bCs/>
                <w:color w:val="auto"/>
                <w:sz w:val="24"/>
                <w:szCs w:val="24"/>
                <w:highlight w:val="none"/>
                <w:lang w:val="en-US" w:eastAsia="zh-CN"/>
              </w:rPr>
              <w:t>本标段</w:t>
            </w:r>
            <w:r>
              <w:rPr>
                <w:rFonts w:hint="eastAsia" w:ascii="仿宋" w:hAnsi="仿宋" w:eastAsia="仿宋" w:cs="仿宋"/>
                <w:b/>
                <w:bCs/>
                <w:color w:val="auto"/>
                <w:sz w:val="24"/>
                <w:szCs w:val="24"/>
                <w:highlight w:val="none"/>
              </w:rPr>
              <w:t>全部投标</w:t>
            </w:r>
            <w:r>
              <w:rPr>
                <w:rFonts w:hint="eastAsia" w:ascii="仿宋" w:hAnsi="仿宋" w:eastAsia="仿宋" w:cs="仿宋"/>
                <w:color w:val="auto"/>
                <w:sz w:val="24"/>
                <w:szCs w:val="24"/>
                <w:highlight w:val="none"/>
              </w:rPr>
              <w:t>。未否决全部投标的，评标委员会应当在评标报告中阐明理由并推荐中标候选人。</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480" w:firstLineChars="20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r>
              <w:rPr>
                <w:rFonts w:hint="eastAsia" w:ascii="仿宋" w:hAnsi="仿宋" w:eastAsia="仿宋" w:cs="仿宋"/>
                <w:color w:val="auto"/>
                <w:sz w:val="24"/>
                <w:szCs w:val="24"/>
                <w:highlight w:val="none"/>
                <w:lang w:val="en-US" w:eastAsia="zh-CN"/>
              </w:rPr>
              <w:t>9</w:t>
            </w:r>
            <w:r>
              <w:rPr>
                <w:rFonts w:hint="eastAsia" w:ascii="仿宋" w:hAnsi="仿宋" w:eastAsia="仿宋" w:cs="仿宋"/>
                <w:color w:val="auto"/>
                <w:sz w:val="24"/>
                <w:szCs w:val="24"/>
                <w:highlight w:val="none"/>
              </w:rPr>
              <w:t>.6 如果发生无法确定推荐中标候选人的其它意外情况，评标委员会可建议招标人重新招标。</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680" w:firstLineChars="200"/>
              <w:jc w:val="both"/>
              <w:textAlignment w:val="auto"/>
              <w:outlineLvl w:val="9"/>
              <w:rPr>
                <w:rFonts w:hint="eastAsia" w:ascii="仿宋" w:hAnsi="仿宋" w:eastAsia="仿宋" w:cs="仿宋"/>
                <w:color w:val="auto"/>
                <w:szCs w:val="24"/>
                <w:highlight w:val="none"/>
                <w:lang w:val="en-US" w:eastAsia="zh-CN"/>
              </w:rPr>
            </w:pPr>
          </w:p>
        </w:tc>
      </w:tr>
    </w:tbl>
    <w:p>
      <w:pPr>
        <w:keepNext w:val="0"/>
        <w:keepLines w:val="0"/>
        <w:pageBreakBefore w:val="0"/>
        <w:widowControl w:val="0"/>
        <w:kinsoku/>
        <w:wordWrap/>
        <w:topLinePunct w:val="0"/>
        <w:autoSpaceDE/>
        <w:autoSpaceDN/>
        <w:bidi w:val="0"/>
        <w:adjustRightInd/>
        <w:snapToGrid/>
        <w:spacing w:before="300" w:beforeLines="0" w:after="300" w:afterLines="0" w:line="312" w:lineRule="auto"/>
        <w:textAlignment w:val="auto"/>
        <w:outlineLvl w:val="0"/>
        <w:rPr>
          <w:rFonts w:hint="eastAsia" w:ascii="仿宋" w:hAnsi="仿宋" w:eastAsia="仿宋" w:cs="仿宋"/>
          <w:b/>
          <w:kern w:val="44"/>
          <w:sz w:val="24"/>
          <w:szCs w:val="24"/>
          <w:highlight w:val="none"/>
        </w:rPr>
      </w:pPr>
      <w:r>
        <w:rPr>
          <w:rFonts w:hint="eastAsia" w:ascii="仿宋" w:hAnsi="仿宋" w:eastAsia="仿宋" w:cs="仿宋"/>
          <w:color w:val="auto"/>
          <w:szCs w:val="24"/>
          <w:highlight w:val="none"/>
        </w:rPr>
        <w:br w:type="page"/>
      </w:r>
      <w:bookmarkStart w:id="6" w:name="_Toc27598"/>
      <w:bookmarkStart w:id="7" w:name="_Toc13867"/>
      <w:bookmarkStart w:id="8" w:name="_Toc347739532"/>
      <w:bookmarkStart w:id="9" w:name="_Toc339289821"/>
      <w:bookmarkStart w:id="10" w:name="_Toc20948"/>
      <w:bookmarkStart w:id="11" w:name="_Toc13239"/>
      <w:bookmarkStart w:id="12" w:name="_Toc10013"/>
      <w:bookmarkStart w:id="13" w:name="_Toc15315"/>
      <w:r>
        <w:rPr>
          <w:rFonts w:hint="eastAsia" w:ascii="仿宋" w:hAnsi="仿宋" w:eastAsia="仿宋" w:cs="仿宋"/>
          <w:b/>
          <w:kern w:val="44"/>
          <w:sz w:val="24"/>
          <w:szCs w:val="24"/>
          <w:highlight w:val="none"/>
        </w:rPr>
        <w:t>1. 评标方法</w:t>
      </w:r>
      <w:bookmarkEnd w:id="6"/>
      <w:bookmarkEnd w:id="7"/>
      <w:bookmarkEnd w:id="8"/>
      <w:bookmarkEnd w:id="9"/>
      <w:bookmarkEnd w:id="10"/>
      <w:bookmarkEnd w:id="11"/>
      <w:bookmarkEnd w:id="12"/>
      <w:bookmarkEnd w:id="13"/>
    </w:p>
    <w:p>
      <w:pPr>
        <w:keepNext w:val="0"/>
        <w:keepLines w:val="0"/>
        <w:pageBreakBefore w:val="0"/>
        <w:widowControl w:val="0"/>
        <w:numPr>
          <w:ilvl w:val="0"/>
          <w:numId w:val="0"/>
        </w:numPr>
        <w:tabs>
          <w:tab w:val="left" w:pos="845"/>
        </w:tabs>
        <w:kinsoku/>
        <w:wordWrap/>
        <w:topLinePunct w:val="0"/>
        <w:autoSpaceDE/>
        <w:autoSpaceDN/>
        <w:bidi w:val="0"/>
        <w:adjustRightInd/>
        <w:snapToGrid/>
        <w:spacing w:before="62" w:beforeLines="0" w:line="312" w:lineRule="auto"/>
        <w:ind w:left="424" w:leftChars="0" w:right="0" w:rightChars="0"/>
        <w:jc w:val="left"/>
        <w:textAlignment w:val="auto"/>
        <w:rPr>
          <w:rFonts w:hint="eastAsia" w:ascii="仿宋" w:hAnsi="仿宋" w:eastAsia="仿宋" w:cs="仿宋"/>
          <w:sz w:val="28"/>
          <w:highlight w:val="none"/>
        </w:rPr>
      </w:pPr>
      <w:r>
        <w:rPr>
          <w:rFonts w:hint="eastAsia" w:ascii="仿宋" w:hAnsi="仿宋" w:eastAsia="仿宋" w:cs="仿宋"/>
          <w:sz w:val="28"/>
          <w:highlight w:val="none"/>
          <w:lang w:val="en-US" w:eastAsia="zh-CN"/>
        </w:rPr>
        <w:t>1.</w:t>
      </w:r>
      <w:r>
        <w:rPr>
          <w:rFonts w:hint="eastAsia" w:ascii="仿宋" w:hAnsi="仿宋" w:eastAsia="仿宋" w:cs="仿宋"/>
          <w:sz w:val="28"/>
          <w:highlight w:val="none"/>
        </w:rPr>
        <w:t>评标方法</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本次评标采用</w:t>
      </w:r>
      <w:r>
        <w:rPr>
          <w:rFonts w:hint="eastAsia" w:ascii="仿宋" w:hAnsi="仿宋" w:eastAsia="仿宋" w:cs="仿宋"/>
          <w:b/>
          <w:bCs/>
          <w:color w:val="auto"/>
          <w:sz w:val="24"/>
          <w:szCs w:val="24"/>
          <w:highlight w:val="none"/>
          <w:lang w:val="en-US" w:eastAsia="zh-CN"/>
        </w:rPr>
        <w:t>双信封综合评分法</w:t>
      </w:r>
      <w:r>
        <w:rPr>
          <w:rFonts w:hint="eastAsia" w:ascii="仿宋" w:hAnsi="仿宋" w:eastAsia="仿宋" w:cs="仿宋"/>
          <w:color w:val="auto"/>
          <w:sz w:val="24"/>
          <w:szCs w:val="24"/>
          <w:highlight w:val="none"/>
          <w:lang w:val="en-US" w:eastAsia="zh-CN"/>
        </w:rPr>
        <w:t>。评标委员会对满足招标文件实质性要求的投标文件， 按照本章第 2.2 款规定的评分标准进行打分，并按得分由高到低顺序推荐中标候选人，或根据招标人授权直接确定中标人，但投标报价低于其成本的除外。综合评分相等时，评标委员会应按照评标办法前附表规定的优先次序推荐中标候选人或确定中标人。</w:t>
      </w:r>
    </w:p>
    <w:p>
      <w:pPr>
        <w:keepNext w:val="0"/>
        <w:keepLines w:val="0"/>
        <w:pageBreakBefore w:val="0"/>
        <w:widowControl w:val="0"/>
        <w:numPr>
          <w:ilvl w:val="0"/>
          <w:numId w:val="0"/>
        </w:numPr>
        <w:tabs>
          <w:tab w:val="left" w:pos="845"/>
        </w:tabs>
        <w:kinsoku/>
        <w:wordWrap/>
        <w:topLinePunct w:val="0"/>
        <w:autoSpaceDE/>
        <w:autoSpaceDN/>
        <w:bidi w:val="0"/>
        <w:adjustRightInd/>
        <w:snapToGrid/>
        <w:spacing w:before="0" w:beforeLines="0" w:line="312" w:lineRule="auto"/>
        <w:ind w:left="424" w:leftChars="0" w:right="0" w:rightChars="0"/>
        <w:jc w:val="left"/>
        <w:textAlignment w:val="auto"/>
        <w:rPr>
          <w:rFonts w:hint="eastAsia" w:ascii="仿宋" w:hAnsi="仿宋" w:eastAsia="仿宋" w:cs="仿宋"/>
          <w:b/>
          <w:bCs/>
          <w:sz w:val="28"/>
          <w:highlight w:val="none"/>
        </w:rPr>
      </w:pPr>
      <w:bookmarkStart w:id="14" w:name="_bookmark127"/>
      <w:bookmarkEnd w:id="14"/>
      <w:r>
        <w:rPr>
          <w:rFonts w:hint="eastAsia" w:ascii="仿宋" w:hAnsi="仿宋" w:eastAsia="仿宋" w:cs="仿宋"/>
          <w:b/>
          <w:bCs/>
          <w:sz w:val="28"/>
          <w:highlight w:val="none"/>
          <w:lang w:val="en-US" w:eastAsia="zh-CN"/>
        </w:rPr>
        <w:t>2.</w:t>
      </w:r>
      <w:r>
        <w:rPr>
          <w:rFonts w:hint="eastAsia" w:ascii="仿宋" w:hAnsi="仿宋" w:eastAsia="仿宋" w:cs="仿宋"/>
          <w:b/>
          <w:bCs/>
          <w:sz w:val="28"/>
          <w:highlight w:val="none"/>
        </w:rPr>
        <w:t>评审标准</w:t>
      </w:r>
    </w:p>
    <w:p>
      <w:pPr>
        <w:spacing w:line="360" w:lineRule="auto"/>
        <w:ind w:firstLine="480" w:firstLineChars="200"/>
        <w:rPr>
          <w:rFonts w:hint="eastAsia" w:ascii="仿宋" w:hAnsi="仿宋" w:eastAsia="仿宋" w:cs="仿宋"/>
          <w:color w:val="auto"/>
          <w:sz w:val="24"/>
          <w:szCs w:val="24"/>
          <w:highlight w:val="none"/>
          <w:lang w:val="en-US" w:eastAsia="zh-CN"/>
        </w:rPr>
      </w:pPr>
      <w:bookmarkStart w:id="15" w:name="_bookmark128"/>
      <w:bookmarkEnd w:id="15"/>
      <w:r>
        <w:rPr>
          <w:rFonts w:hint="eastAsia" w:ascii="仿宋" w:hAnsi="仿宋" w:eastAsia="仿宋" w:cs="仿宋"/>
          <w:color w:val="auto"/>
          <w:sz w:val="24"/>
          <w:szCs w:val="24"/>
          <w:highlight w:val="none"/>
          <w:lang w:val="en-US" w:eastAsia="zh-CN"/>
        </w:rPr>
        <w:t>2.1初步评审标准</w:t>
      </w:r>
    </w:p>
    <w:p>
      <w:pPr>
        <w:spacing w:line="360" w:lineRule="auto"/>
        <w:ind w:left="0" w:leftChars="0" w:firstLine="338" w:firstLineChars="141"/>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 2.1.1 形式评审标准：见评标办法前附表。</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2.1.2 资格评审标准：见评标办法前附表。</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2.1.3 响应性评审标准：见评标办法前附表。</w:t>
      </w:r>
    </w:p>
    <w:p>
      <w:pPr>
        <w:spacing w:line="360" w:lineRule="auto"/>
        <w:ind w:firstLine="480" w:firstLineChars="200"/>
        <w:rPr>
          <w:rFonts w:hint="eastAsia" w:ascii="仿宋" w:hAnsi="仿宋" w:eastAsia="仿宋" w:cs="仿宋"/>
          <w:color w:val="auto"/>
          <w:sz w:val="24"/>
          <w:szCs w:val="24"/>
          <w:highlight w:val="none"/>
          <w:lang w:val="en-US" w:eastAsia="zh-CN"/>
        </w:rPr>
      </w:pPr>
      <w:bookmarkStart w:id="16" w:name="_Toc28889"/>
      <w:bookmarkStart w:id="17" w:name="_Toc11231"/>
      <w:bookmarkStart w:id="18" w:name="_Toc347739535"/>
      <w:bookmarkStart w:id="19" w:name="_Toc339289824"/>
      <w:r>
        <w:rPr>
          <w:rFonts w:hint="eastAsia" w:ascii="仿宋" w:hAnsi="仿宋" w:eastAsia="仿宋" w:cs="仿宋"/>
          <w:color w:val="auto"/>
          <w:sz w:val="24"/>
          <w:szCs w:val="24"/>
          <w:highlight w:val="none"/>
          <w:lang w:val="en-US" w:eastAsia="zh-CN"/>
        </w:rPr>
        <w:t>2.2 分值构成与评分标准</w:t>
      </w:r>
      <w:bookmarkEnd w:id="16"/>
      <w:bookmarkEnd w:id="17"/>
      <w:bookmarkEnd w:id="18"/>
      <w:bookmarkEnd w:id="19"/>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2.2.1 分值构成</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（1）施工组织设计：见评标办法前附表；</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（2）主要人员：见评标办法前附表；</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（3）评标价：见评标办法前附表；</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（4）其他评分因素：见评标办法前附表。</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2.2.2  评标基准价计算</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评标基准价计算方法：见评标办法前附表。</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2.2.3  投标报价的偏差率计算</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投标价的偏差率计算公式：见评标办法前附表。</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2.2.4  评分标准</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评标价评分标准：见评标办法前附表。</w:t>
      </w:r>
    </w:p>
    <w:p>
      <w:pPr>
        <w:spacing w:line="360" w:lineRule="auto"/>
        <w:ind w:firstLine="480" w:firstLineChars="200"/>
        <w:rPr>
          <w:rFonts w:hint="eastAsia" w:ascii="仿宋" w:hAnsi="仿宋" w:eastAsia="仿宋" w:cs="仿宋"/>
          <w:color w:val="auto"/>
          <w:sz w:val="24"/>
          <w:szCs w:val="24"/>
          <w:highlight w:val="none"/>
          <w:lang w:val="en-US" w:eastAsia="zh-CN"/>
        </w:rPr>
      </w:pPr>
    </w:p>
    <w:p>
      <w:pPr>
        <w:spacing w:line="360" w:lineRule="auto"/>
        <w:ind w:firstLine="480" w:firstLineChars="200"/>
        <w:rPr>
          <w:rFonts w:hint="eastAsia" w:ascii="仿宋" w:hAnsi="仿宋" w:eastAsia="仿宋" w:cs="仿宋"/>
          <w:color w:val="auto"/>
          <w:sz w:val="24"/>
          <w:szCs w:val="24"/>
          <w:highlight w:val="none"/>
          <w:lang w:val="en-US" w:eastAsia="zh-CN"/>
        </w:rPr>
      </w:pPr>
      <w:bookmarkStart w:id="20" w:name="_bookmark130"/>
      <w:bookmarkEnd w:id="20"/>
      <w:r>
        <w:rPr>
          <w:rFonts w:hint="eastAsia" w:ascii="仿宋" w:hAnsi="仿宋" w:eastAsia="仿宋" w:cs="仿宋"/>
          <w:color w:val="auto"/>
          <w:sz w:val="24"/>
          <w:szCs w:val="24"/>
          <w:highlight w:val="none"/>
          <w:lang w:val="en-US" w:eastAsia="zh-CN"/>
        </w:rPr>
        <w:t>3. 评标程序</w:t>
      </w:r>
    </w:p>
    <w:p>
      <w:pPr>
        <w:spacing w:line="360" w:lineRule="auto"/>
        <w:ind w:firstLine="480" w:firstLineChars="200"/>
        <w:rPr>
          <w:rFonts w:hint="eastAsia" w:ascii="仿宋" w:hAnsi="仿宋" w:eastAsia="仿宋" w:cs="仿宋"/>
          <w:color w:val="auto"/>
          <w:sz w:val="24"/>
          <w:szCs w:val="24"/>
          <w:highlight w:val="none"/>
          <w:lang w:val="en-US" w:eastAsia="zh-CN"/>
        </w:rPr>
      </w:pPr>
      <w:bookmarkStart w:id="21" w:name="_bookmark131"/>
      <w:bookmarkEnd w:id="21"/>
      <w:r>
        <w:rPr>
          <w:rFonts w:hint="eastAsia" w:ascii="仿宋" w:hAnsi="仿宋" w:eastAsia="仿宋" w:cs="仿宋"/>
          <w:color w:val="auto"/>
          <w:sz w:val="24"/>
          <w:szCs w:val="24"/>
          <w:highlight w:val="none"/>
          <w:lang w:val="en-US" w:eastAsia="zh-CN"/>
        </w:rPr>
        <w:t>3.1第一个信封初步评审</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3.11评标委员会可以要求投标人提交第二章“投标人须知”第 3.5.1 项至第 3.5.6 项规定的有关证明和证件的原件，以便核验。评标委员会依据本章第 2.1 款规定的标准对投标文件第一个信封（商务及技术文件）进行初步评审。有一项不符合评审标准的，评标委员会应否决其投标。（适用于未进行资格预审的）</w:t>
      </w:r>
    </w:p>
    <w:p>
      <w:pPr>
        <w:spacing w:line="360" w:lineRule="auto"/>
        <w:ind w:firstLine="480" w:firstLineChars="200"/>
        <w:rPr>
          <w:rFonts w:hint="eastAsia" w:ascii="仿宋" w:hAnsi="仿宋" w:eastAsia="仿宋" w:cs="仿宋"/>
          <w:color w:val="auto"/>
          <w:sz w:val="24"/>
          <w:szCs w:val="24"/>
          <w:highlight w:val="none"/>
          <w:lang w:val="en-US" w:eastAsia="zh-CN"/>
        </w:rPr>
      </w:pPr>
      <w:bookmarkStart w:id="22" w:name="_bookmark132"/>
      <w:bookmarkEnd w:id="22"/>
      <w:r>
        <w:rPr>
          <w:rFonts w:hint="eastAsia" w:ascii="仿宋" w:hAnsi="仿宋" w:eastAsia="仿宋" w:cs="仿宋"/>
          <w:color w:val="auto"/>
          <w:sz w:val="24"/>
          <w:szCs w:val="24"/>
          <w:highlight w:val="none"/>
          <w:lang w:val="en-US" w:eastAsia="zh-CN"/>
        </w:rPr>
        <w:t>3.2第一个信封详细评审</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3.2.1评标委员会按本章第 2.2 款规定的量化因素和分值进行打分，并计算出各投标人的商务和技术得分。</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（1）按本章第 2.2.4 项（1）目规定的评审因素和分值对施工组织设计部分计算出得分 A；</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（2）按本章第 2.2.4 项（2）目规定的评审因素和分值对主要人员部分计算出得分 B；</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 （3）按本章第 2.2.4 项（4）目规定的评审因素和分值对其他部分计算出得分 D。</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3.2.2投标人的商务和技术得分分值计算保留小数点后两位，小数点后第三位“四舍五入”。</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3.2.3投标人的商务和技术得分=A+B+D。</w:t>
      </w:r>
    </w:p>
    <w:p>
      <w:pPr>
        <w:spacing w:line="360" w:lineRule="auto"/>
        <w:ind w:firstLine="480" w:firstLineChars="200"/>
        <w:rPr>
          <w:rFonts w:hint="eastAsia" w:ascii="仿宋" w:hAnsi="仿宋" w:eastAsia="仿宋" w:cs="仿宋"/>
          <w:color w:val="auto"/>
          <w:sz w:val="24"/>
          <w:szCs w:val="24"/>
          <w:highlight w:val="none"/>
          <w:lang w:val="en-US" w:eastAsia="zh-CN"/>
        </w:rPr>
      </w:pPr>
      <w:bookmarkStart w:id="23" w:name="_bookmark133"/>
      <w:bookmarkEnd w:id="23"/>
      <w:r>
        <w:rPr>
          <w:rFonts w:hint="eastAsia" w:ascii="仿宋" w:hAnsi="仿宋" w:eastAsia="仿宋" w:cs="仿宋"/>
          <w:color w:val="auto"/>
          <w:sz w:val="24"/>
          <w:szCs w:val="24"/>
          <w:highlight w:val="none"/>
          <w:lang w:val="en-US" w:eastAsia="zh-CN"/>
        </w:rPr>
        <w:t xml:space="preserve"> 3.3第二个信封开标</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 第一个信封（商务及技术文件）评审结束后，招标人将按照第二章“投标人须知” 第 5.1 款规定的时间和地点对通过投标文件第一个信封（商务及技术文件）评审的投标文件第二个信封（报价文件）进行开标。</w:t>
      </w:r>
    </w:p>
    <w:p>
      <w:pPr>
        <w:spacing w:line="360" w:lineRule="auto"/>
        <w:ind w:firstLine="480" w:firstLineChars="200"/>
        <w:rPr>
          <w:rFonts w:hint="eastAsia" w:ascii="仿宋" w:hAnsi="仿宋" w:eastAsia="仿宋" w:cs="仿宋"/>
          <w:color w:val="auto"/>
          <w:sz w:val="24"/>
          <w:szCs w:val="24"/>
          <w:highlight w:val="none"/>
          <w:lang w:val="en-US" w:eastAsia="zh-CN"/>
        </w:rPr>
      </w:pPr>
      <w:bookmarkStart w:id="24" w:name="_bookmark134"/>
      <w:bookmarkEnd w:id="24"/>
      <w:r>
        <w:rPr>
          <w:rFonts w:hint="eastAsia" w:ascii="仿宋" w:hAnsi="仿宋" w:eastAsia="仿宋" w:cs="仿宋"/>
          <w:color w:val="auto"/>
          <w:sz w:val="24"/>
          <w:szCs w:val="24"/>
          <w:highlight w:val="none"/>
          <w:lang w:val="en-US" w:eastAsia="zh-CN"/>
        </w:rPr>
        <w:t>3.4第二个信封初步评审</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3.4.1评标委员会依据本章第 2.1.1 项、第 2.1.3 项规定的评审标准对投标文件第二个信封（报价文件）进行初步评审。有一项不符合评审标准的，评标委员会应否决其投标。</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     3.4.2① 投标报价有算术错误的，评标委员会按以下原则对投标报价进行修正， 修正的价格经投标人书面确认后具有约束力。投标人不接受修正价格的，评标委员会应否决其投标。</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（1）投标文件中的大写金额与小写金额不一致的，以大写金额为准；</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（2）总价金额与依据单价计算出的结果不一致的，以单价金额为准修正总价， 但单价金额小数点有明显错误的除外;</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（3）当单价与数量相乘不等于合价时，以单价计算为准，如果单价有明显的小数点位置差错，应以标出的合价为准，同时对单价予以修正；</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（4）当各子目的合价累计不等于总价时，应以各子目合价累计数为准，修正总价。</w:t>
      </w:r>
    </w:p>
    <w:p>
      <w:pPr>
        <w:keepNext w:val="0"/>
        <w:keepLines w:val="0"/>
        <w:pageBreakBefore w:val="0"/>
        <w:widowControl w:val="0"/>
        <w:kinsoku/>
        <w:wordWrap/>
        <w:topLinePunct w:val="0"/>
        <w:autoSpaceDE/>
        <w:autoSpaceDN/>
        <w:bidi w:val="0"/>
        <w:adjustRightInd/>
        <w:snapToGrid/>
        <w:spacing w:before="77" w:beforeLines="0" w:line="312" w:lineRule="auto"/>
        <w:ind w:left="604" w:right="416" w:hanging="180"/>
        <w:jc w:val="left"/>
        <w:textAlignment w:val="auto"/>
        <w:rPr>
          <w:rFonts w:hint="eastAsia" w:ascii="仿宋" w:hAnsi="仿宋" w:eastAsia="仿宋" w:cs="仿宋"/>
          <w:highlight w:val="none"/>
        </w:rPr>
      </w:pPr>
      <w:r>
        <w:rPr>
          <w:rFonts w:hint="eastAsia" w:ascii="仿宋" w:hAnsi="仿宋" w:eastAsia="仿宋" w:cs="仿宋"/>
          <w:kern w:val="2"/>
          <w:sz w:val="24"/>
          <w:highlight w:val="none"/>
          <w:lang w:val="en-US" w:eastAsia="zh-CN" w:bidi="ar-SA"/>
        </w:rPr>
        <w:t>（</w:t>
      </w:r>
      <w:r>
        <w:rPr>
          <w:rFonts w:hint="eastAsia" w:ascii="仿宋" w:hAnsi="仿宋" w:eastAsia="仿宋" w:cs="仿宋"/>
          <w:position w:val="8"/>
          <w:sz w:val="9"/>
          <w:highlight w:val="none"/>
        </w:rPr>
        <w:t xml:space="preserve">① </w:t>
      </w:r>
      <w:r>
        <w:rPr>
          <w:rFonts w:hint="eastAsia" w:ascii="仿宋" w:hAnsi="仿宋" w:eastAsia="仿宋" w:cs="仿宋"/>
          <w:sz w:val="18"/>
          <w:highlight w:val="none"/>
        </w:rPr>
        <w:t>如本项目招标由投标人按照招标人提供的书面工程量清单填写本合同各工程子目的单价、合价和总额价，则</w:t>
      </w:r>
      <w:r>
        <w:rPr>
          <w:rFonts w:hint="eastAsia" w:ascii="仿宋" w:hAnsi="仿宋" w:eastAsia="仿宋" w:cs="仿宋"/>
          <w:spacing w:val="-5"/>
          <w:sz w:val="18"/>
          <w:highlight w:val="none"/>
        </w:rPr>
        <w:t xml:space="preserve">评标委员会按照本章第 </w:t>
      </w:r>
      <w:r>
        <w:rPr>
          <w:rFonts w:hint="eastAsia" w:ascii="仿宋" w:hAnsi="仿宋" w:eastAsia="仿宋" w:cs="仿宋"/>
          <w:sz w:val="18"/>
          <w:highlight w:val="none"/>
        </w:rPr>
        <w:t xml:space="preserve">3.4.2 </w:t>
      </w:r>
      <w:r>
        <w:rPr>
          <w:rFonts w:hint="eastAsia" w:ascii="仿宋" w:hAnsi="仿宋" w:eastAsia="仿宋" w:cs="仿宋"/>
          <w:spacing w:val="-13"/>
          <w:sz w:val="18"/>
          <w:highlight w:val="none"/>
        </w:rPr>
        <w:t xml:space="preserve">项和第 </w:t>
      </w:r>
      <w:r>
        <w:rPr>
          <w:rFonts w:hint="eastAsia" w:ascii="仿宋" w:hAnsi="仿宋" w:eastAsia="仿宋" w:cs="仿宋"/>
          <w:sz w:val="18"/>
          <w:highlight w:val="none"/>
        </w:rPr>
        <w:t xml:space="preserve">3.4.3 </w:t>
      </w:r>
      <w:r>
        <w:rPr>
          <w:rFonts w:hint="eastAsia" w:ascii="仿宋" w:hAnsi="仿宋" w:eastAsia="仿宋" w:cs="仿宋"/>
          <w:spacing w:val="-1"/>
          <w:sz w:val="18"/>
          <w:highlight w:val="none"/>
        </w:rPr>
        <w:t>项的规定对投标人的投标报价进行修正。如本项目招标由投标人按</w:t>
      </w:r>
      <w:r>
        <w:rPr>
          <w:rFonts w:hint="eastAsia" w:ascii="仿宋" w:hAnsi="仿宋" w:eastAsia="仿宋" w:cs="仿宋"/>
          <w:sz w:val="18"/>
          <w:highlight w:val="none"/>
        </w:rPr>
        <w:t>照招标人提供的工程量固化清单电子文件填写工程量清单，无须按照本章第 3.4.2 项和第 3.4.3 项的规定对投标报价进行修正，第 3.4.2 项至第 3.4.5 项内容不适用。</w:t>
      </w:r>
      <w:r>
        <w:rPr>
          <w:rFonts w:hint="eastAsia" w:ascii="仿宋" w:hAnsi="仿宋" w:eastAsia="仿宋" w:cs="仿宋"/>
          <w:kern w:val="2"/>
          <w:sz w:val="24"/>
          <w:highlight w:val="none"/>
          <w:lang w:val="en-US" w:eastAsia="zh-CN" w:bidi="ar-SA"/>
        </w:rPr>
        <w:t>）</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3.4.3工程量清单中的投标报价有其他错误的，评标委员会按以下原则对投标报价进行修正，修正的价格经投标人书面确认后具有约束力。投标人不接受修正价格的，评标委员会应否决其投标。</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在招标人给定的工程量清单中漏报了某个工程子目的单价、合价或总额价，或所报单价、合价或总额价减少了报价范围，则漏报的工程子目单价、合价和总额价或单价、合价和总额价中减少的报价内容视为已含入其他工程子目的单价、合价和总额价之中。</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在招标人给定的工程量清单中多报了某个工程子目的单价、合价或总额价，或所报单价、合价或总额价增加了报价范围，则从投标报价中扣除多报的工程子目报价或工程子目报价中增加了报价范围的部分报价。</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（3）当单价与数量的乘积与合价（金额）虽然一致，但投标人修改了该子目的工程数量，则其合价按招标人给定的工程数量乘以投标人所报单价予以修正。</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3.4.4修正后的最终投标报价若超过最高投标限价（如有），评标委员会应否决其投标。</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3.4.5修正后的最终投标报价仅作为签订合同的一个依据，不参与评标价得分的计算。</w:t>
      </w:r>
    </w:p>
    <w:p>
      <w:pPr>
        <w:spacing w:line="360" w:lineRule="auto"/>
        <w:ind w:firstLine="480" w:firstLineChars="200"/>
        <w:rPr>
          <w:rFonts w:hint="eastAsia" w:ascii="仿宋" w:hAnsi="仿宋" w:eastAsia="仿宋" w:cs="仿宋"/>
          <w:color w:val="auto"/>
          <w:sz w:val="24"/>
          <w:szCs w:val="24"/>
          <w:highlight w:val="none"/>
          <w:lang w:val="en-US" w:eastAsia="zh-CN"/>
        </w:rPr>
      </w:pPr>
      <w:bookmarkStart w:id="25" w:name="_bookmark135"/>
      <w:bookmarkEnd w:id="25"/>
      <w:r>
        <w:rPr>
          <w:rFonts w:hint="eastAsia" w:ascii="仿宋" w:hAnsi="仿宋" w:eastAsia="仿宋" w:cs="仿宋"/>
          <w:color w:val="auto"/>
          <w:sz w:val="24"/>
          <w:szCs w:val="24"/>
          <w:highlight w:val="none"/>
          <w:lang w:val="en-US" w:eastAsia="zh-CN"/>
        </w:rPr>
        <w:t>3.5 第二个信封详细评审</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3.5.1评标委员会按本章第 2.2.4（3）目规定的评审因素和分值对评标价计算出得分 C。评标价得分分值计算保留小数点后两位，小数点后第三位“四舍五入”。</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3.5.2投标人综合得分=投标人的商务和技术得分+C。</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3.5.3评标委员会发现投标人的报价明显低于其他投标报价，使得其投标报价可能低于其个别成本的，应要求该投标人作出书面说明并提供相应的证明材料。投标人不能合理说明或不能提供相应证明材料的，评标委员会应认定该投标人以低于成本报价竞标，并否决其投标。</w:t>
      </w:r>
    </w:p>
    <w:p>
      <w:pPr>
        <w:spacing w:line="360" w:lineRule="auto"/>
        <w:ind w:firstLine="480" w:firstLineChars="200"/>
        <w:rPr>
          <w:rFonts w:hint="eastAsia" w:ascii="仿宋" w:hAnsi="仿宋" w:eastAsia="仿宋" w:cs="仿宋"/>
          <w:color w:val="auto"/>
          <w:sz w:val="24"/>
          <w:szCs w:val="24"/>
          <w:highlight w:val="none"/>
          <w:lang w:val="en-US" w:eastAsia="zh-CN"/>
        </w:rPr>
      </w:pPr>
      <w:bookmarkStart w:id="26" w:name="_bookmark136"/>
      <w:bookmarkEnd w:id="26"/>
      <w:r>
        <w:rPr>
          <w:rFonts w:hint="eastAsia" w:ascii="仿宋" w:hAnsi="仿宋" w:eastAsia="仿宋" w:cs="仿宋"/>
          <w:color w:val="auto"/>
          <w:sz w:val="24"/>
          <w:szCs w:val="24"/>
          <w:highlight w:val="none"/>
          <w:lang w:val="en-US" w:eastAsia="zh-CN"/>
        </w:rPr>
        <w:t>3.6投标文件相关信息的核查</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3.6.1在评标过程中，评标委员会应查询交通运输主管部门“公路建设市场信用信息管理系统”，对投标人的资质、业绩、主要人员资历和目前在岗情况、信用等级等信息进行核实。若投标文件载明的信息与交通运输主管部门“公路建设市场信用信息管理系统”发布的信息不符，使得投标人的资格条件不符合招标文件规定的， 评标委员会应否决其投标。</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3.6.2</w:t>
      </w:r>
      <w:r>
        <w:rPr>
          <w:rFonts w:hint="eastAsia" w:ascii="仿宋" w:hAnsi="仿宋" w:eastAsia="仿宋" w:cs="仿宋"/>
          <w:color w:val="auto"/>
          <w:sz w:val="24"/>
          <w:szCs w:val="24"/>
          <w:highlight w:val="none"/>
        </w:rPr>
        <w:t>评标委员会应对在评标过程中发现的投标人与投标人之间、投标人与招标人之间存在的串通投标的情形进行评审和认定。投标人存在串通投标、弄虚作假、行贿等违法行为的，评标委员会应否决其投标。</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（1）有下列情形之一的，属于投标人相互串通投标：</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a.投标人之间协商投标报价等投标文件的实质性内容；</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b.投标人之间约定中标人；</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c.投标人之间约定部分投标人放弃投标或中标；</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d.属于同一集团、协会、商会等组织成员的投标人按照该组织要求协同投标；</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e.投标人之间为谋取中标或排斥特定投标人而采取的其他联合行动。</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（2）有下列情形之一的，视为投标人相互串通投标：</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a.不同投标人的投标文件由同一单位或个人编制；</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b.不同投标人委托同一单位或个人办理投标事宜；</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c.不同投标人的投标文件载明的项目管理成员为同一人；</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d.不同投标人的投标文件异常一致或投标报价呈规律性差异；</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e.不同投标人的投标文件相互混装；</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f.不同投标人的投标保证金从同一单位或个人的账户转出。</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（3）有下列情形之一的，属于招标人与投标人串通投标：</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a.招标人在开标前开启投标文件并将有关信息泄露给其他投标人;</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b.招标人直接或间接向投标人泄露标底、评标委员会成员等信息；</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c.招标人明示或暗示投标人压低或抬高投标报价；</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d.招标人授意投标人撤换、修改投标文件；</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e.招标人明示或暗示投标人为特定投标人中标提供方便；</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f.招标人与投标人为谋求特定投标人中标而采取的其他串通行为。</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（4）投标人有下列情形之一的，属于弄虚作假的行为：</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a.使用通过受让或租借等方式获取的资格、资质证书投标；</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b.使用伪造、变造的许可证件；</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c.提供虚假的财务状况或业绩；</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d.提供虚假的项目负责人或主要技术人员简历、劳动关系证明；</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e.提供虚假的信用状况；</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f.其他弄虚作假的行为。</w:t>
      </w:r>
    </w:p>
    <w:p>
      <w:pPr>
        <w:spacing w:line="360" w:lineRule="auto"/>
        <w:ind w:firstLine="480" w:firstLineChars="200"/>
        <w:rPr>
          <w:rFonts w:hint="eastAsia" w:ascii="仿宋" w:hAnsi="仿宋" w:eastAsia="仿宋" w:cs="仿宋"/>
          <w:color w:val="auto"/>
          <w:sz w:val="24"/>
          <w:szCs w:val="24"/>
          <w:highlight w:val="none"/>
        </w:rPr>
      </w:pPr>
      <w:bookmarkStart w:id="27" w:name="_bookmark137"/>
      <w:bookmarkEnd w:id="27"/>
      <w:r>
        <w:rPr>
          <w:rFonts w:hint="eastAsia" w:ascii="仿宋" w:hAnsi="仿宋" w:eastAsia="仿宋" w:cs="仿宋"/>
          <w:color w:val="auto"/>
          <w:sz w:val="24"/>
          <w:szCs w:val="24"/>
          <w:highlight w:val="none"/>
          <w:lang w:val="en-US" w:eastAsia="zh-CN"/>
        </w:rPr>
        <w:t>3.7</w:t>
      </w:r>
      <w:r>
        <w:rPr>
          <w:rFonts w:hint="eastAsia" w:ascii="仿宋" w:hAnsi="仿宋" w:eastAsia="仿宋" w:cs="仿宋"/>
          <w:color w:val="auto"/>
          <w:sz w:val="24"/>
          <w:szCs w:val="24"/>
          <w:highlight w:val="none"/>
        </w:rPr>
        <w:t>投标文件的澄清和说明</w:t>
      </w:r>
    </w:p>
    <w:p>
      <w:pPr>
        <w:spacing w:line="360" w:lineRule="auto"/>
        <w:ind w:firstLine="480" w:firstLineChars="200"/>
        <w:rPr>
          <w:rFonts w:hint="eastAsia" w:ascii="仿宋" w:hAnsi="仿宋" w:eastAsia="仿宋" w:cs="仿宋"/>
          <w:color w:val="auto"/>
          <w:sz w:val="24"/>
          <w:szCs w:val="24"/>
          <w:highlight w:val="none"/>
        </w:rPr>
      </w:pP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3.7.1</w:t>
      </w:r>
      <w:r>
        <w:rPr>
          <w:rFonts w:hint="eastAsia" w:ascii="仿宋" w:hAnsi="仿宋" w:eastAsia="仿宋" w:cs="仿宋"/>
          <w:color w:val="auto"/>
          <w:sz w:val="24"/>
          <w:szCs w:val="24"/>
          <w:highlight w:val="none"/>
        </w:rPr>
        <w:t>在评标过程中，评标委员会可以书面形式要求投标人对投标文件中含义不明确的内容、明显文字或计算错误进行书面澄清或说明。评标委员会不接受投标人主动提出的澄清、说明。投标人不按评标委员会要求澄清或说明的，评标委员会应否决其投标。</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3.7.2 </w:t>
      </w:r>
      <w:r>
        <w:rPr>
          <w:rFonts w:hint="eastAsia" w:ascii="仿宋" w:hAnsi="仿宋" w:eastAsia="仿宋" w:cs="仿宋"/>
          <w:color w:val="auto"/>
          <w:sz w:val="24"/>
          <w:szCs w:val="24"/>
          <w:highlight w:val="none"/>
        </w:rPr>
        <w:t>澄清和说明不得超出投标文件的范围或改变投标文件的实质性内容（算术性错误的修正除外）。投标人的书面澄清、说明属于投标文件的组成部分。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3.7.3</w:t>
      </w:r>
      <w:r>
        <w:rPr>
          <w:rFonts w:hint="eastAsia" w:ascii="仿宋" w:hAnsi="仿宋" w:eastAsia="仿宋" w:cs="仿宋"/>
          <w:color w:val="auto"/>
          <w:sz w:val="24"/>
          <w:szCs w:val="24"/>
          <w:highlight w:val="none"/>
        </w:rPr>
        <w:t>评标委员会不得暗示或诱导投标人作出澄清、说明，对投标人提交的澄清、说明有疑问的，可以要求投标人进一步澄清或说明，直至满足评标委员会的要求。</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3.7.4</w:t>
      </w:r>
      <w:r>
        <w:rPr>
          <w:rFonts w:hint="eastAsia" w:ascii="仿宋" w:hAnsi="仿宋" w:eastAsia="仿宋" w:cs="仿宋"/>
          <w:color w:val="auto"/>
          <w:sz w:val="24"/>
          <w:szCs w:val="24"/>
          <w:highlight w:val="none"/>
        </w:rPr>
        <w:t>凡超出招标文件规定的或给发包人带来未曾要求的利益的变化、偏差或其他因素在评标时不予考虑。</w:t>
      </w:r>
    </w:p>
    <w:p>
      <w:pPr>
        <w:spacing w:line="360" w:lineRule="auto"/>
        <w:ind w:firstLine="480" w:firstLineChars="200"/>
        <w:rPr>
          <w:rFonts w:hint="eastAsia" w:ascii="仿宋" w:hAnsi="仿宋" w:eastAsia="仿宋" w:cs="仿宋"/>
          <w:color w:val="auto"/>
          <w:sz w:val="24"/>
          <w:szCs w:val="24"/>
          <w:highlight w:val="none"/>
        </w:rPr>
      </w:pPr>
      <w:bookmarkStart w:id="28" w:name="_bookmark138"/>
      <w:bookmarkEnd w:id="28"/>
      <w:r>
        <w:rPr>
          <w:rFonts w:hint="eastAsia" w:ascii="仿宋" w:hAnsi="仿宋" w:eastAsia="仿宋" w:cs="仿宋"/>
          <w:color w:val="auto"/>
          <w:sz w:val="24"/>
          <w:szCs w:val="24"/>
          <w:highlight w:val="none"/>
          <w:lang w:val="en-US" w:eastAsia="zh-CN"/>
        </w:rPr>
        <w:t>3.8</w:t>
      </w:r>
      <w:r>
        <w:rPr>
          <w:rFonts w:hint="eastAsia" w:ascii="仿宋" w:hAnsi="仿宋" w:eastAsia="仿宋" w:cs="仿宋"/>
          <w:color w:val="auto"/>
          <w:sz w:val="24"/>
          <w:szCs w:val="24"/>
          <w:highlight w:val="none"/>
        </w:rPr>
        <w:t>不得否决投标的情形</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投标文件存在第二章“投标人须知”第 1.12.3 项所列情形的，均视为细微偏差，</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评标委员会不得否决投标人的投标，应按照第二章“投标人须知”第 1.12.4 项规定的原则处理。</w:t>
      </w:r>
    </w:p>
    <w:p>
      <w:pPr>
        <w:spacing w:line="360" w:lineRule="auto"/>
        <w:ind w:firstLine="480" w:firstLineChars="200"/>
        <w:rPr>
          <w:rFonts w:hint="eastAsia" w:ascii="仿宋" w:hAnsi="仿宋" w:eastAsia="仿宋" w:cs="仿宋"/>
          <w:color w:val="auto"/>
          <w:sz w:val="24"/>
          <w:szCs w:val="24"/>
          <w:highlight w:val="none"/>
        </w:rPr>
      </w:pPr>
      <w:bookmarkStart w:id="29" w:name="_bookmark139"/>
      <w:bookmarkEnd w:id="29"/>
      <w:r>
        <w:rPr>
          <w:rFonts w:hint="eastAsia" w:ascii="仿宋" w:hAnsi="仿宋" w:eastAsia="仿宋" w:cs="仿宋"/>
          <w:color w:val="auto"/>
          <w:sz w:val="24"/>
          <w:szCs w:val="24"/>
          <w:highlight w:val="none"/>
          <w:lang w:val="en-US" w:eastAsia="zh-CN"/>
        </w:rPr>
        <w:t>3.9</w:t>
      </w:r>
      <w:r>
        <w:rPr>
          <w:rFonts w:hint="eastAsia" w:ascii="仿宋" w:hAnsi="仿宋" w:eastAsia="仿宋" w:cs="仿宋"/>
          <w:color w:val="auto"/>
          <w:sz w:val="24"/>
          <w:szCs w:val="24"/>
          <w:highlight w:val="none"/>
        </w:rPr>
        <w:t>评标结果</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3.9.1</w:t>
      </w:r>
      <w:r>
        <w:rPr>
          <w:rFonts w:hint="eastAsia" w:ascii="仿宋" w:hAnsi="仿宋" w:eastAsia="仿宋" w:cs="仿宋"/>
          <w:color w:val="auto"/>
          <w:sz w:val="24"/>
          <w:szCs w:val="24"/>
          <w:highlight w:val="none"/>
        </w:rPr>
        <w:t>除第二章“投标人须知”前附表授权直接确定中标人外，评标委员会按照得分由高到低的顺序推荐中标候选人，并标明排序。</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3.9.2</w:t>
      </w:r>
      <w:r>
        <w:rPr>
          <w:rFonts w:hint="eastAsia" w:ascii="仿宋" w:hAnsi="仿宋" w:eastAsia="仿宋" w:cs="仿宋"/>
          <w:color w:val="auto"/>
          <w:sz w:val="24"/>
          <w:szCs w:val="24"/>
          <w:highlight w:val="none"/>
        </w:rPr>
        <w:t>评标委员会完成评标后，应向招标人提交书面评标报告。</w:t>
      </w:r>
    </w:p>
    <w:p>
      <w:pPr>
        <w:pStyle w:val="2"/>
        <w:spacing w:before="0" w:beforeLines="0" w:after="0" w:afterLines="0"/>
        <w:rPr>
          <w:rFonts w:hint="eastAsia" w:ascii="仿宋" w:hAnsi="仿宋" w:eastAsia="仿宋" w:cs="仿宋"/>
          <w:b w:val="0"/>
          <w:color w:val="auto"/>
          <w:sz w:val="32"/>
          <w:highlight w:val="none"/>
        </w:rPr>
      </w:pPr>
    </w:p>
    <w:p>
      <w:pPr>
        <w:pStyle w:val="2"/>
        <w:spacing w:before="0" w:beforeLines="0" w:after="0" w:afterLines="0"/>
        <w:rPr>
          <w:rFonts w:hint="eastAsia" w:ascii="仿宋" w:hAnsi="仿宋" w:eastAsia="仿宋" w:cs="仿宋"/>
          <w:b w:val="0"/>
          <w:color w:val="auto"/>
          <w:sz w:val="32"/>
          <w:highlight w:val="none"/>
        </w:rPr>
      </w:pPr>
    </w:p>
    <w:p>
      <w:pPr>
        <w:pStyle w:val="2"/>
        <w:spacing w:before="0" w:beforeLines="0" w:after="0" w:afterLines="0"/>
        <w:rPr>
          <w:rFonts w:hint="eastAsia" w:ascii="仿宋" w:hAnsi="仿宋" w:eastAsia="仿宋" w:cs="仿宋"/>
          <w:b w:val="0"/>
          <w:color w:val="auto"/>
          <w:sz w:val="32"/>
          <w:highlight w:val="none"/>
        </w:rPr>
      </w:pPr>
    </w:p>
    <w:p>
      <w:pPr>
        <w:pStyle w:val="2"/>
        <w:spacing w:before="0" w:beforeLines="0" w:after="0" w:afterLines="0"/>
        <w:rPr>
          <w:rFonts w:hint="eastAsia" w:ascii="仿宋" w:hAnsi="仿宋" w:eastAsia="仿宋" w:cs="仿宋"/>
          <w:b w:val="0"/>
          <w:color w:val="auto"/>
          <w:sz w:val="32"/>
          <w:highlight w:val="none"/>
        </w:rPr>
      </w:pPr>
    </w:p>
    <w:p>
      <w:bookmarkStart w:id="30" w:name="_GoBack"/>
      <w:bookmarkEnd w:id="3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10006FF" w:usb1="4000205B" w:usb2="00000010" w:usb3="00000000" w:csb0="2000019F" w:csb1="00000000"/>
  </w:font>
  <w:font w:name="隶书">
    <w:altName w:val="微软雅黑"/>
    <w:panose1 w:val="02010509060101010101"/>
    <w:charset w:val="86"/>
    <w:family w:val="modern"/>
    <w:pitch w:val="default"/>
    <w:sig w:usb0="00000000" w:usb1="00000000" w:usb2="0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Arial Unicode MS">
    <w:altName w:val="宋体"/>
    <w:panose1 w:val="020B0604020202020204"/>
    <w:charset w:val="86"/>
    <w:family w:val="swiss"/>
    <w:pitch w:val="default"/>
    <w:sig w:usb0="00000000" w:usb1="00000000" w:usb2="0000003F" w:usb3="00000000" w:csb0="603F01FF" w:csb1="FFFF0000"/>
  </w:font>
  <w:font w:name="Century">
    <w:altName w:val="Nyala"/>
    <w:panose1 w:val="02040604050505020304"/>
    <w:charset w:val="00"/>
    <w:family w:val="roman"/>
    <w:pitch w:val="default"/>
    <w:sig w:usb0="00000000" w:usb1="00000000" w:usb2="00000000" w:usb3="00000000" w:csb0="2000009F" w:csb1="DFD70000"/>
  </w:font>
  <w:font w:name="Comic Sans MS">
    <w:panose1 w:val="030F0702030302020204"/>
    <w:charset w:val="00"/>
    <w:family w:val="script"/>
    <w:pitch w:val="default"/>
    <w:sig w:usb0="00000287" w:usb1="00000000" w:usb2="00000000" w:usb3="00000000" w:csb0="2000009F" w:csb1="00000000"/>
  </w:font>
  <w:font w:name="方正书宋简体">
    <w:altName w:val="黑体"/>
    <w:panose1 w:val="03000509000000000000"/>
    <w:charset w:val="86"/>
    <w:family w:val="script"/>
    <w:pitch w:val="default"/>
    <w:sig w:usb0="00000000" w:usb1="00000000" w:usb2="00000010" w:usb3="00000000" w:csb0="00040000" w:csb1="00000000"/>
  </w:font>
  <w:font w:name="华文行楷">
    <w:altName w:val="微软雅黑"/>
    <w:panose1 w:val="0201080004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MingLiU">
    <w:panose1 w:val="02020509000000000000"/>
    <w:charset w:val="88"/>
    <w:family w:val="modern"/>
    <w:pitch w:val="default"/>
    <w:sig w:usb0="A00002FF" w:usb1="28CFFCFA" w:usb2="00000016" w:usb3="00000000" w:csb0="00100001"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Nyala">
    <w:panose1 w:val="02000504070300020003"/>
    <w:charset w:val="00"/>
    <w:family w:val="auto"/>
    <w:pitch w:val="default"/>
    <w:sig w:usb0="A000006F" w:usb1="00000000" w:usb2="000008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F"/>
    <w:multiLevelType w:val="singleLevel"/>
    <w:tmpl w:val="0000001F"/>
    <w:lvl w:ilvl="0" w:tentative="0">
      <w:start w:val="1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CA1253"/>
    <w:rsid w:val="2FCA125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sz w:val="34"/>
      <w:szCs w:val="22"/>
      <w:lang w:val="en-US" w:eastAsia="zh-CN" w:bidi="ar-SA"/>
    </w:rPr>
  </w:style>
  <w:style w:type="paragraph" w:styleId="2">
    <w:name w:val="heading 1"/>
    <w:basedOn w:val="1"/>
    <w:next w:val="1"/>
    <w:qFormat/>
    <w:uiPriority w:val="0"/>
    <w:pPr>
      <w:adjustRightInd w:val="0"/>
      <w:spacing w:before="120" w:beforeLines="0" w:after="360" w:afterLines="0" w:line="720" w:lineRule="atLeast"/>
      <w:jc w:val="center"/>
      <w:textAlignment w:val="baseline"/>
      <w:outlineLvl w:val="0"/>
    </w:pPr>
    <w:rPr>
      <w:rFonts w:cs="Times New Roman"/>
      <w:b/>
      <w:bCs/>
      <w:kern w:val="44"/>
      <w:sz w:val="44"/>
      <w:szCs w:val="4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6">
    <w:name w:val="Table Paragraph"/>
    <w:basedOn w:val="1"/>
    <w:qFormat/>
    <w:uiPriority w:val="0"/>
    <w:rPr>
      <w:rFonts w:hint="default"/>
      <w:sz w:val="24"/>
    </w:rPr>
  </w:style>
  <w:style w:type="paragraph" w:customStyle="1" w:styleId="7">
    <w:name w:val="List Paragraph"/>
    <w:basedOn w:val="1"/>
    <w:uiPriority w:val="0"/>
    <w:pPr>
      <w:ind w:firstLine="420" w:firstLineChars="200"/>
    </w:pPr>
    <w:rPr>
      <w:rFonts w:ascii="Calibri" w:hAnsi="Calibri"/>
      <w:sz w:val="21"/>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3.bin"/><Relationship Id="rId7" Type="http://schemas.openxmlformats.org/officeDocument/2006/relationships/image" Target="media/image2.wmf"/><Relationship Id="rId6" Type="http://schemas.openxmlformats.org/officeDocument/2006/relationships/oleObject" Target="embeddings/oleObject2.bin"/><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oleObject" Target="embeddings/oleObject16.bin"/><Relationship Id="rId23" Type="http://schemas.openxmlformats.org/officeDocument/2006/relationships/oleObject" Target="embeddings/oleObject15.bin"/><Relationship Id="rId22" Type="http://schemas.openxmlformats.org/officeDocument/2006/relationships/oleObject" Target="embeddings/oleObject14.bin"/><Relationship Id="rId21" Type="http://schemas.openxmlformats.org/officeDocument/2006/relationships/oleObject" Target="embeddings/oleObject13.bin"/><Relationship Id="rId20" Type="http://schemas.openxmlformats.org/officeDocument/2006/relationships/oleObject" Target="embeddings/oleObject12.bin"/><Relationship Id="rId2" Type="http://schemas.openxmlformats.org/officeDocument/2006/relationships/settings" Target="settings.xml"/><Relationship Id="rId19" Type="http://schemas.openxmlformats.org/officeDocument/2006/relationships/oleObject" Target="embeddings/oleObject11.bin"/><Relationship Id="rId18" Type="http://schemas.openxmlformats.org/officeDocument/2006/relationships/oleObject" Target="embeddings/oleObject10.bin"/><Relationship Id="rId17" Type="http://schemas.openxmlformats.org/officeDocument/2006/relationships/oleObject" Target="embeddings/oleObject9.bin"/><Relationship Id="rId16" Type="http://schemas.openxmlformats.org/officeDocument/2006/relationships/oleObject" Target="embeddings/oleObject8.bin"/><Relationship Id="rId15" Type="http://schemas.openxmlformats.org/officeDocument/2006/relationships/oleObject" Target="embeddings/oleObject7.bin"/><Relationship Id="rId14" Type="http://schemas.openxmlformats.org/officeDocument/2006/relationships/image" Target="media/image5.wmf"/><Relationship Id="rId13" Type="http://schemas.openxmlformats.org/officeDocument/2006/relationships/oleObject" Target="embeddings/oleObject6.bin"/><Relationship Id="rId12" Type="http://schemas.openxmlformats.org/officeDocument/2006/relationships/oleObject" Target="embeddings/oleObject5.bin"/><Relationship Id="rId11" Type="http://schemas.openxmlformats.org/officeDocument/2006/relationships/image" Target="media/image4.w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2018-09-19T03:12:00Z</dcterms:created>
  <dc:creator>邓妃琴</dc:creator>
  <cp:lastModifiedBy>邓妃琴</cp:lastModifiedBy>
  <dcterms:modified xsi:type="dcterms:W3CDTF">2018-09-19T03:13:33Z</dcterms:modified>
  <dc:title>第三章  评标办法（双信封的综合评分法）</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2052-10.8.0.5874</vt:lpwstr>
  </property>
</Properties>
</file>