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宋体" w:hAnsi="宋体" w:cs="宋体"/>
          <w:b/>
          <w:sz w:val="28"/>
          <w:szCs w:val="28"/>
          <w:highlight w:val="none"/>
        </w:rPr>
      </w:pPr>
      <w:r>
        <w:rPr>
          <w:rFonts w:hint="eastAsia" w:ascii="宋体" w:hAnsi="宋体" w:cs="宋体"/>
          <w:sz w:val="28"/>
          <w:szCs w:val="28"/>
          <w:highlight w:val="none"/>
        </w:rPr>
        <w:t>附件1</w:t>
      </w:r>
    </w:p>
    <w:p>
      <w:pPr>
        <w:adjustRightInd w:val="0"/>
        <w:snapToGrid w:val="0"/>
        <w:spacing w:line="300" w:lineRule="exact"/>
        <w:jc w:val="center"/>
        <w:rPr>
          <w:rFonts w:hint="eastAsia" w:ascii="宋体" w:hAnsi="宋体" w:cs="宋体"/>
          <w:b/>
          <w:sz w:val="28"/>
          <w:szCs w:val="28"/>
          <w:highlight w:val="none"/>
        </w:rPr>
      </w:pPr>
      <w:r>
        <w:rPr>
          <w:rFonts w:hint="eastAsia" w:ascii="宋体" w:hAnsi="宋体" w:cs="宋体"/>
          <w:b/>
          <w:sz w:val="28"/>
          <w:szCs w:val="28"/>
          <w:highlight w:val="none"/>
        </w:rPr>
        <w:t>附录1  资格审查条件(资质最低条件)</w:t>
      </w:r>
    </w:p>
    <w:p>
      <w:pPr>
        <w:adjustRightInd w:val="0"/>
        <w:snapToGrid w:val="0"/>
        <w:spacing w:line="300" w:lineRule="auto"/>
        <w:jc w:val="center"/>
        <w:rPr>
          <w:rFonts w:hint="eastAsia" w:ascii="宋体" w:hAnsi="宋体" w:cs="宋体"/>
          <w:b/>
          <w:szCs w:val="21"/>
          <w:highlight w:val="none"/>
        </w:rPr>
      </w:pPr>
      <w:r>
        <w:rPr>
          <w:rFonts w:hint="eastAsia" w:ascii="宋体" w:hAnsi="宋体" w:cs="宋体"/>
          <w:b/>
          <w:szCs w:val="21"/>
          <w:highlight w:val="none"/>
        </w:rPr>
        <w:t xml:space="preserve">      </w:t>
      </w:r>
    </w:p>
    <w:tbl>
      <w:tblPr>
        <w:tblStyle w:val="5"/>
        <w:tblW w:w="82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2" w:hRule="atLeast"/>
          <w:jc w:val="center"/>
        </w:trPr>
        <w:tc>
          <w:tcPr>
            <w:tcW w:w="8243" w:type="dxa"/>
            <w:vAlign w:val="center"/>
          </w:tcPr>
          <w:p>
            <w:pPr>
              <w:adjustRightInd w:val="0"/>
              <w:snapToGrid w:val="0"/>
              <w:spacing w:line="400" w:lineRule="atLeast"/>
              <w:jc w:val="center"/>
              <w:rPr>
                <w:rFonts w:hint="eastAsia" w:ascii="宋体" w:hAnsi="宋体" w:cs="宋体"/>
                <w:szCs w:val="21"/>
                <w:highlight w:val="none"/>
              </w:rPr>
            </w:pPr>
            <w:r>
              <w:rPr>
                <w:rFonts w:hint="eastAsia" w:ascii="宋体" w:hAnsi="宋体" w:cs="宋体"/>
                <w:b/>
                <w:bCs/>
                <w:szCs w:val="21"/>
                <w:highlight w:val="none"/>
              </w:rPr>
              <w:t>施工企业资质等级要求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77" w:hRule="atLeast"/>
          <w:jc w:val="center"/>
        </w:trPr>
        <w:tc>
          <w:tcPr>
            <w:tcW w:w="8243" w:type="dxa"/>
            <w:vAlign w:val="center"/>
          </w:tcPr>
          <w:p>
            <w:pPr>
              <w:numPr>
                <w:ilvl w:val="0"/>
                <w:numId w:val="1"/>
              </w:numPr>
              <w:adjustRightInd w:val="0"/>
              <w:snapToGrid w:val="0"/>
              <w:spacing w:line="400" w:lineRule="atLeast"/>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投标人必须是在中华人民共和国境内注册的企业法人；</w:t>
            </w:r>
          </w:p>
          <w:p>
            <w:pPr>
              <w:numPr>
                <w:ilvl w:val="0"/>
                <w:numId w:val="1"/>
              </w:numPr>
              <w:adjustRightInd w:val="0"/>
              <w:snapToGrid w:val="0"/>
              <w:spacing w:line="400" w:lineRule="atLeast"/>
              <w:jc w:val="center"/>
              <w:rPr>
                <w:rFonts w:hint="eastAsia" w:ascii="宋体" w:hAnsi="宋体" w:cs="宋体"/>
                <w:szCs w:val="21"/>
                <w:highlight w:val="none"/>
                <w:lang w:val="en-US" w:eastAsia="zh-CN"/>
              </w:rPr>
            </w:pPr>
            <w:r>
              <w:rPr>
                <w:rFonts w:hint="eastAsia" w:ascii="宋体" w:hAnsi="宋体" w:eastAsia="宋体" w:cs="宋体"/>
                <w:bCs/>
                <w:color w:val="000000"/>
                <w:spacing w:val="-4"/>
                <w:sz w:val="21"/>
                <w:szCs w:val="21"/>
                <w:highlight w:val="none"/>
                <w:lang w:eastAsia="zh-CN"/>
              </w:rPr>
              <w:t>具备省级或建设行政主管部门核发的有效的公路交通工程（公路安全设施）专业承包壹级及以上资质或特种工程（限结构补强）专业承包资质的公路施工企业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73" w:hRule="atLeast"/>
          <w:jc w:val="center"/>
        </w:trPr>
        <w:tc>
          <w:tcPr>
            <w:tcW w:w="8243" w:type="dxa"/>
            <w:vAlign w:val="center"/>
          </w:tcPr>
          <w:p>
            <w:pPr>
              <w:snapToGrid w:val="0"/>
              <w:spacing w:line="360" w:lineRule="auto"/>
              <w:jc w:val="center"/>
              <w:rPr>
                <w:rFonts w:hint="eastAsia" w:ascii="宋体" w:hAnsi="宋体" w:cs="宋体"/>
                <w:b/>
                <w:spacing w:val="-4"/>
                <w:szCs w:val="21"/>
                <w:highlight w:val="none"/>
              </w:rPr>
            </w:pPr>
            <w:r>
              <w:rPr>
                <w:rFonts w:hint="eastAsia" w:ascii="宋体" w:hAnsi="宋体" w:cs="宋体"/>
                <w:b/>
                <w:spacing w:val="-4"/>
                <w:szCs w:val="21"/>
                <w:highlight w:val="none"/>
              </w:rPr>
              <w:t>安全生产资格</w:t>
            </w:r>
          </w:p>
          <w:p>
            <w:pPr>
              <w:adjustRightInd w:val="0"/>
              <w:snapToGrid w:val="0"/>
              <w:spacing w:line="400" w:lineRule="atLeast"/>
              <w:jc w:val="center"/>
              <w:rPr>
                <w:rFonts w:hint="eastAsia" w:ascii="宋体" w:hAnsi="宋体" w:cs="宋体"/>
                <w:szCs w:val="21"/>
                <w:highlight w:val="none"/>
              </w:rPr>
            </w:pPr>
            <w:r>
              <w:rPr>
                <w:rFonts w:hint="eastAsia" w:ascii="宋体" w:hAnsi="宋体" w:cs="宋体"/>
                <w:bCs/>
                <w:spacing w:val="-4"/>
                <w:szCs w:val="21"/>
                <w:highlight w:val="none"/>
              </w:rPr>
              <w:t>投标人应具有合法有效的安全生产许可证</w:t>
            </w:r>
          </w:p>
        </w:tc>
      </w:tr>
    </w:tbl>
    <w:p>
      <w:pPr>
        <w:adjustRightInd w:val="0"/>
        <w:snapToGrid w:val="0"/>
        <w:spacing w:line="300" w:lineRule="exact"/>
        <w:rPr>
          <w:rFonts w:hint="eastAsia" w:ascii="宋体" w:hAnsi="宋体" w:cs="宋体"/>
          <w:b/>
          <w:szCs w:val="21"/>
          <w:highlight w:val="none"/>
        </w:rPr>
      </w:pPr>
    </w:p>
    <w:p>
      <w:pPr>
        <w:adjustRightInd w:val="0"/>
        <w:snapToGrid w:val="0"/>
        <w:spacing w:line="300" w:lineRule="exact"/>
        <w:rPr>
          <w:rFonts w:hint="eastAsia" w:ascii="宋体" w:hAnsi="宋体" w:cs="宋体"/>
          <w:b/>
          <w:szCs w:val="21"/>
          <w:highlight w:val="none"/>
        </w:rPr>
      </w:pPr>
    </w:p>
    <w:p>
      <w:pPr>
        <w:adjustRightInd w:val="0"/>
        <w:snapToGrid w:val="0"/>
        <w:spacing w:line="300" w:lineRule="exact"/>
        <w:rPr>
          <w:rFonts w:hint="eastAsia" w:ascii="宋体" w:hAnsi="宋体" w:cs="宋体"/>
          <w:b/>
          <w:szCs w:val="21"/>
          <w:highlight w:val="none"/>
        </w:rPr>
      </w:pPr>
    </w:p>
    <w:p>
      <w:pPr>
        <w:adjustRightInd w:val="0"/>
        <w:snapToGrid w:val="0"/>
        <w:spacing w:line="300" w:lineRule="auto"/>
        <w:jc w:val="center"/>
        <w:rPr>
          <w:rFonts w:hint="eastAsia" w:ascii="宋体" w:hAnsi="宋体" w:cs="宋体"/>
          <w:b/>
          <w:sz w:val="28"/>
          <w:szCs w:val="28"/>
          <w:highlight w:val="none"/>
        </w:rPr>
      </w:pPr>
      <w:r>
        <w:rPr>
          <w:rFonts w:hint="eastAsia" w:ascii="宋体" w:hAnsi="宋体" w:cs="宋体"/>
          <w:b/>
          <w:sz w:val="28"/>
          <w:szCs w:val="28"/>
          <w:highlight w:val="none"/>
        </w:rPr>
        <w:t>附录2  资格审查条件(财务最低要求)</w:t>
      </w:r>
    </w:p>
    <w:p>
      <w:pPr>
        <w:adjustRightInd w:val="0"/>
        <w:snapToGrid w:val="0"/>
        <w:spacing w:line="300" w:lineRule="exact"/>
        <w:rPr>
          <w:rFonts w:hint="eastAsia" w:ascii="宋体" w:hAnsi="宋体" w:cs="宋体"/>
          <w:b/>
          <w:szCs w:val="21"/>
          <w:highlight w:val="none"/>
        </w:rPr>
      </w:pPr>
    </w:p>
    <w:tbl>
      <w:tblPr>
        <w:tblStyle w:val="5"/>
        <w:tblW w:w="80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jc w:val="center"/>
        </w:trPr>
        <w:tc>
          <w:tcPr>
            <w:tcW w:w="8075" w:type="dxa"/>
            <w:vAlign w:val="center"/>
          </w:tcPr>
          <w:p>
            <w:pPr>
              <w:adjustRightInd w:val="0"/>
              <w:snapToGrid w:val="0"/>
              <w:spacing w:line="400" w:lineRule="atLeast"/>
              <w:jc w:val="center"/>
              <w:rPr>
                <w:rFonts w:hint="eastAsia" w:ascii="宋体" w:hAnsi="宋体" w:cs="宋体"/>
                <w:szCs w:val="21"/>
                <w:highlight w:val="none"/>
              </w:rPr>
            </w:pPr>
            <w:r>
              <w:rPr>
                <w:rFonts w:hint="eastAsia" w:ascii="宋体" w:hAnsi="宋体" w:cs="宋体"/>
                <w:b/>
                <w:bCs/>
                <w:szCs w:val="21"/>
                <w:highlight w:val="none"/>
              </w:rPr>
              <w:t>财 务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96" w:hRule="atLeast"/>
          <w:jc w:val="center"/>
        </w:trPr>
        <w:tc>
          <w:tcPr>
            <w:tcW w:w="8075" w:type="dxa"/>
            <w:vAlign w:val="center"/>
          </w:tcPr>
          <w:p>
            <w:pPr>
              <w:numPr>
                <w:ilvl w:val="0"/>
                <w:numId w:val="2"/>
              </w:numPr>
              <w:adjustRightInd w:val="0"/>
              <w:snapToGrid w:val="0"/>
              <w:spacing w:line="360" w:lineRule="auto"/>
              <w:ind w:firstLine="420" w:firstLineChars="200"/>
              <w:rPr>
                <w:rFonts w:hint="eastAsia" w:ascii="宋体" w:hAnsi="宋体"/>
                <w:szCs w:val="21"/>
                <w:highlight w:val="none"/>
              </w:rPr>
            </w:pPr>
            <w:r>
              <w:rPr>
                <w:rFonts w:hint="eastAsia" w:ascii="宋体" w:hAnsi="宋体"/>
                <w:szCs w:val="21"/>
                <w:highlight w:val="none"/>
                <w:lang w:eastAsia="zh-CN"/>
              </w:rPr>
              <w:t>企业注册资本金不少于</w:t>
            </w:r>
            <w:r>
              <w:rPr>
                <w:rFonts w:hint="eastAsia" w:ascii="宋体" w:hAnsi="宋体"/>
                <w:szCs w:val="21"/>
                <w:highlight w:val="none"/>
                <w:u w:val="single"/>
                <w:lang w:val="en-US" w:eastAsia="zh-CN"/>
              </w:rPr>
              <w:t>5000</w:t>
            </w:r>
            <w:r>
              <w:rPr>
                <w:rFonts w:hint="eastAsia" w:ascii="宋体" w:hAnsi="宋体"/>
                <w:szCs w:val="21"/>
                <w:highlight w:val="none"/>
                <w:lang w:val="en-US" w:eastAsia="zh-CN"/>
              </w:rPr>
              <w:t>万元人民币。</w:t>
            </w:r>
          </w:p>
          <w:p>
            <w:pPr>
              <w:numPr>
                <w:ilvl w:val="0"/>
                <w:numId w:val="2"/>
              </w:numPr>
              <w:adjustRightInd w:val="0"/>
              <w:snapToGrid w:val="0"/>
              <w:spacing w:line="360" w:lineRule="auto"/>
              <w:ind w:firstLine="420" w:firstLineChars="200"/>
              <w:rPr>
                <w:rFonts w:hint="eastAsia" w:ascii="宋体" w:hAnsi="宋体"/>
                <w:szCs w:val="21"/>
                <w:highlight w:val="none"/>
              </w:rPr>
            </w:pPr>
            <w:r>
              <w:rPr>
                <w:rFonts w:hint="eastAsia" w:ascii="宋体" w:hAnsi="宋体"/>
                <w:szCs w:val="21"/>
                <w:highlight w:val="none"/>
              </w:rPr>
              <w:t>企业净资产（总资产-总负债）不少于</w:t>
            </w:r>
            <w:r>
              <w:rPr>
                <w:rFonts w:hint="eastAsia" w:ascii="宋体" w:hAnsi="宋体"/>
                <w:szCs w:val="21"/>
                <w:highlight w:val="none"/>
                <w:u w:val="single"/>
                <w:lang w:val="en-US" w:eastAsia="zh-CN"/>
              </w:rPr>
              <w:t>10000</w:t>
            </w:r>
            <w:r>
              <w:rPr>
                <w:rFonts w:hint="eastAsia" w:ascii="宋体" w:hAnsi="宋体"/>
                <w:szCs w:val="21"/>
                <w:highlight w:val="none"/>
              </w:rPr>
              <w:t>万元人民币；</w:t>
            </w:r>
          </w:p>
          <w:p>
            <w:pPr>
              <w:numPr>
                <w:ilvl w:val="0"/>
                <w:numId w:val="2"/>
              </w:numPr>
              <w:adjustRightInd w:val="0"/>
              <w:snapToGrid w:val="0"/>
              <w:spacing w:line="360" w:lineRule="auto"/>
              <w:ind w:firstLine="420" w:firstLineChars="200"/>
              <w:rPr>
                <w:rFonts w:hint="eastAsia" w:ascii="宋体" w:hAnsi="宋体"/>
                <w:szCs w:val="21"/>
                <w:highlight w:val="none"/>
              </w:rPr>
            </w:pPr>
            <w:r>
              <w:rPr>
                <w:rFonts w:hint="eastAsia" w:ascii="宋体" w:hAnsi="宋体"/>
                <w:szCs w:val="21"/>
                <w:highlight w:val="none"/>
              </w:rPr>
              <w:t>201</w:t>
            </w:r>
            <w:r>
              <w:rPr>
                <w:rFonts w:hint="eastAsia" w:ascii="宋体" w:hAnsi="宋体"/>
                <w:szCs w:val="21"/>
                <w:highlight w:val="none"/>
                <w:lang w:val="en-US" w:eastAsia="zh-CN"/>
              </w:rPr>
              <w:t>5</w:t>
            </w:r>
            <w:r>
              <w:rPr>
                <w:rFonts w:hint="eastAsia" w:ascii="宋体" w:hAnsi="宋体"/>
                <w:szCs w:val="21"/>
                <w:highlight w:val="none"/>
              </w:rPr>
              <w:t>年至201</w:t>
            </w:r>
            <w:r>
              <w:rPr>
                <w:rFonts w:hint="eastAsia" w:ascii="宋体" w:hAnsi="宋体"/>
                <w:szCs w:val="21"/>
                <w:highlight w:val="none"/>
                <w:lang w:val="en-US" w:eastAsia="zh-CN"/>
              </w:rPr>
              <w:t>7</w:t>
            </w:r>
            <w:r>
              <w:rPr>
                <w:rFonts w:hint="eastAsia" w:ascii="宋体" w:hAnsi="宋体"/>
                <w:szCs w:val="21"/>
                <w:highlight w:val="none"/>
              </w:rPr>
              <w:t>年的年平均营业总收入不小于</w:t>
            </w:r>
            <w:r>
              <w:rPr>
                <w:rFonts w:hint="eastAsia" w:ascii="宋体" w:hAnsi="宋体"/>
                <w:szCs w:val="21"/>
                <w:highlight w:val="none"/>
                <w:u w:val="single"/>
                <w:lang w:val="en-US" w:eastAsia="zh-CN"/>
              </w:rPr>
              <w:t>5000</w:t>
            </w:r>
            <w:r>
              <w:rPr>
                <w:rFonts w:hint="eastAsia" w:ascii="宋体" w:hAnsi="宋体"/>
                <w:szCs w:val="21"/>
                <w:highlight w:val="none"/>
              </w:rPr>
              <w:t>万元人民币。</w:t>
            </w:r>
          </w:p>
          <w:p>
            <w:pPr>
              <w:adjustRightInd w:val="0"/>
              <w:snapToGrid w:val="0"/>
              <w:spacing w:line="360" w:lineRule="auto"/>
              <w:ind w:left="3" w:firstLine="420" w:firstLineChars="200"/>
              <w:rPr>
                <w:rFonts w:hint="eastAsia" w:ascii="宋体" w:hAnsi="宋体" w:cs="宋体"/>
                <w:bCs/>
                <w:highlight w:val="none"/>
              </w:rPr>
            </w:pPr>
            <w:r>
              <w:rPr>
                <w:rFonts w:hint="eastAsia" w:ascii="宋体" w:hAnsi="宋体"/>
                <w:szCs w:val="21"/>
                <w:highlight w:val="none"/>
              </w:rPr>
              <w:t>3、最近三个年度至少有</w:t>
            </w:r>
            <w:r>
              <w:rPr>
                <w:rFonts w:hint="eastAsia" w:ascii="宋体" w:hAnsi="宋体"/>
                <w:szCs w:val="21"/>
                <w:highlight w:val="none"/>
                <w:u w:val="single"/>
              </w:rPr>
              <w:t>2</w:t>
            </w:r>
            <w:r>
              <w:rPr>
                <w:rFonts w:hint="eastAsia" w:ascii="宋体" w:hAnsi="宋体"/>
                <w:szCs w:val="21"/>
                <w:highlight w:val="none"/>
              </w:rPr>
              <w:t>年盈利。</w:t>
            </w:r>
          </w:p>
        </w:tc>
      </w:tr>
    </w:tbl>
    <w:p>
      <w:pPr>
        <w:adjustRightInd w:val="0"/>
        <w:snapToGrid w:val="0"/>
        <w:spacing w:line="300" w:lineRule="exact"/>
        <w:jc w:val="center"/>
        <w:rPr>
          <w:rFonts w:hint="eastAsia" w:ascii="宋体" w:hAnsi="宋体" w:cs="宋体"/>
          <w:szCs w:val="21"/>
          <w:highlight w:val="none"/>
        </w:rPr>
      </w:pPr>
    </w:p>
    <w:p>
      <w:pPr>
        <w:adjustRightInd w:val="0"/>
        <w:snapToGrid w:val="0"/>
        <w:spacing w:line="400" w:lineRule="atLeast"/>
        <w:rPr>
          <w:rFonts w:hint="eastAsia" w:ascii="宋体" w:hAnsi="宋体" w:eastAsia="宋体" w:cs="宋体"/>
          <w:sz w:val="21"/>
          <w:szCs w:val="21"/>
          <w:highlight w:val="none"/>
        </w:rPr>
      </w:pPr>
      <w:r>
        <w:rPr>
          <w:rFonts w:hint="eastAsia" w:ascii="宋体" w:hAnsi="宋体" w:eastAsia="宋体" w:cs="宋体"/>
          <w:sz w:val="21"/>
          <w:szCs w:val="21"/>
          <w:highlight w:val="none"/>
        </w:rPr>
        <w:t>注：1、企业净资产按201</w:t>
      </w: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rPr>
        <w:t>年度经审计的财务会计报表</w:t>
      </w:r>
      <w:r>
        <w:rPr>
          <w:rFonts w:hint="eastAsia" w:ascii="宋体" w:hAnsi="宋体" w:eastAsia="宋体" w:cs="宋体"/>
          <w:sz w:val="21"/>
          <w:szCs w:val="21"/>
          <w:highlight w:val="none"/>
          <w:lang w:eastAsia="zh-CN"/>
        </w:rPr>
        <w:t>为准</w:t>
      </w:r>
      <w:r>
        <w:rPr>
          <w:rFonts w:hint="eastAsia" w:ascii="宋体" w:hAnsi="宋体" w:eastAsia="宋体" w:cs="宋体"/>
          <w:sz w:val="21"/>
          <w:szCs w:val="21"/>
          <w:highlight w:val="none"/>
        </w:rPr>
        <w:t>。</w:t>
      </w:r>
    </w:p>
    <w:p>
      <w:pPr>
        <w:adjustRightInd w:val="0"/>
        <w:snapToGrid w:val="0"/>
        <w:spacing w:line="400" w:lineRule="atLeast"/>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    2、</w:t>
      </w:r>
      <w:r>
        <w:rPr>
          <w:rFonts w:hint="eastAsia" w:ascii="宋体" w:hAnsi="宋体" w:eastAsia="宋体" w:cs="宋体"/>
          <w:kern w:val="0"/>
          <w:sz w:val="21"/>
          <w:szCs w:val="21"/>
          <w:highlight w:val="none"/>
        </w:rPr>
        <w:t>近三年（201</w:t>
      </w:r>
      <w:r>
        <w:rPr>
          <w:rFonts w:hint="eastAsia" w:ascii="宋体" w:hAnsi="宋体" w:eastAsia="宋体" w:cs="宋体"/>
          <w:kern w:val="0"/>
          <w:sz w:val="21"/>
          <w:szCs w:val="21"/>
          <w:highlight w:val="none"/>
          <w:lang w:val="en-US" w:eastAsia="zh-CN"/>
        </w:rPr>
        <w:t>5</w:t>
      </w:r>
      <w:r>
        <w:rPr>
          <w:rFonts w:hint="eastAsia" w:ascii="宋体" w:hAnsi="宋体" w:eastAsia="宋体" w:cs="宋体"/>
          <w:kern w:val="0"/>
          <w:sz w:val="21"/>
          <w:szCs w:val="21"/>
          <w:highlight w:val="none"/>
        </w:rPr>
        <w:t>-201</w:t>
      </w:r>
      <w:r>
        <w:rPr>
          <w:rFonts w:hint="eastAsia" w:ascii="宋体" w:hAnsi="宋体" w:eastAsia="宋体" w:cs="宋体"/>
          <w:kern w:val="0"/>
          <w:sz w:val="21"/>
          <w:szCs w:val="21"/>
          <w:highlight w:val="none"/>
          <w:lang w:val="en-US" w:eastAsia="zh-CN"/>
        </w:rPr>
        <w:t>7</w:t>
      </w:r>
      <w:r>
        <w:rPr>
          <w:rFonts w:hint="eastAsia" w:ascii="宋体" w:hAnsi="宋体" w:eastAsia="宋体" w:cs="宋体"/>
          <w:kern w:val="0"/>
          <w:sz w:val="21"/>
          <w:szCs w:val="21"/>
          <w:highlight w:val="none"/>
        </w:rPr>
        <w:t>年）财务信息以投标人提供的经会计师事务所或审计机构审计的财务审计意见（报告）为准，主要提供（不限于）资产负债表、现金流量表、利润表的复印件。且投标人还需提供最新一年（201</w:t>
      </w:r>
      <w:r>
        <w:rPr>
          <w:rFonts w:hint="eastAsia" w:ascii="宋体" w:hAnsi="宋体" w:eastAsia="宋体" w:cs="宋体"/>
          <w:kern w:val="0"/>
          <w:sz w:val="21"/>
          <w:szCs w:val="21"/>
          <w:highlight w:val="none"/>
          <w:lang w:val="en-US" w:eastAsia="zh-CN"/>
        </w:rPr>
        <w:t>7</w:t>
      </w:r>
      <w:r>
        <w:rPr>
          <w:rFonts w:hint="eastAsia" w:ascii="宋体" w:hAnsi="宋体" w:eastAsia="宋体" w:cs="宋体"/>
          <w:kern w:val="0"/>
          <w:sz w:val="21"/>
          <w:szCs w:val="21"/>
          <w:highlight w:val="none"/>
        </w:rPr>
        <w:t>年）经会计师事务所或审计机构审计的财务审计意见（报告）。</w:t>
      </w:r>
    </w:p>
    <w:p>
      <w:pPr>
        <w:adjustRightInd w:val="0"/>
        <w:snapToGrid w:val="0"/>
        <w:spacing w:line="400" w:lineRule="atLeas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3、企业盈利情况以投标人提供的近三年财务信息为准。</w:t>
      </w:r>
      <w:r>
        <w:rPr>
          <w:rFonts w:hint="eastAsia" w:ascii="宋体" w:hAnsi="宋体" w:eastAsia="宋体" w:cs="宋体"/>
          <w:sz w:val="21"/>
          <w:szCs w:val="21"/>
          <w:highlight w:val="none"/>
          <w:lang w:val="zh-CN"/>
        </w:rPr>
        <w:t>复印件必须清晰可辨，不允许三页以上拼接复印。</w:t>
      </w:r>
    </w:p>
    <w:p>
      <w:pPr>
        <w:adjustRightInd w:val="0"/>
        <w:snapToGrid w:val="0"/>
        <w:spacing w:line="300" w:lineRule="auto"/>
        <w:jc w:val="center"/>
        <w:rPr>
          <w:rFonts w:hint="eastAsia" w:ascii="宋体" w:hAnsi="宋体" w:cs="宋体"/>
          <w:b/>
          <w:sz w:val="28"/>
          <w:szCs w:val="28"/>
          <w:highlight w:val="none"/>
        </w:rPr>
      </w:pPr>
      <w:r>
        <w:rPr>
          <w:rFonts w:hint="eastAsia" w:ascii="宋体" w:hAnsi="宋体" w:cs="宋体"/>
          <w:b/>
          <w:sz w:val="28"/>
          <w:szCs w:val="28"/>
          <w:highlight w:val="none"/>
        </w:rPr>
        <w:br w:type="page"/>
      </w:r>
      <w:r>
        <w:rPr>
          <w:rFonts w:hint="eastAsia" w:ascii="宋体" w:hAnsi="宋体" w:cs="宋体"/>
          <w:b/>
          <w:sz w:val="28"/>
          <w:szCs w:val="28"/>
          <w:highlight w:val="none"/>
        </w:rPr>
        <w:t>附录3 资格审查条件(业绩最低要求)</w:t>
      </w:r>
    </w:p>
    <w:p>
      <w:pPr>
        <w:adjustRightInd w:val="0"/>
        <w:snapToGrid w:val="0"/>
        <w:spacing w:line="300" w:lineRule="exact"/>
        <w:rPr>
          <w:rFonts w:hint="eastAsia" w:ascii="宋体" w:hAnsi="宋体" w:cs="宋体"/>
          <w:b/>
          <w:szCs w:val="21"/>
          <w:highlight w:val="none"/>
        </w:rPr>
      </w:pPr>
    </w:p>
    <w:tbl>
      <w:tblPr>
        <w:tblStyle w:val="5"/>
        <w:tblW w:w="84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9" w:hRule="atLeast"/>
          <w:jc w:val="center"/>
        </w:trPr>
        <w:tc>
          <w:tcPr>
            <w:tcW w:w="8422" w:type="dxa"/>
            <w:vAlign w:val="center"/>
          </w:tcPr>
          <w:p>
            <w:pPr>
              <w:adjustRightInd w:val="0"/>
              <w:snapToGrid w:val="0"/>
              <w:spacing w:line="400" w:lineRule="atLeast"/>
              <w:jc w:val="center"/>
              <w:rPr>
                <w:rFonts w:hint="eastAsia" w:ascii="宋体" w:hAnsi="宋体" w:cs="宋体"/>
                <w:szCs w:val="21"/>
                <w:highlight w:val="none"/>
              </w:rPr>
            </w:pPr>
            <w:r>
              <w:rPr>
                <w:rFonts w:hint="eastAsia" w:ascii="宋体" w:hAnsi="宋体" w:cs="宋体"/>
                <w:b/>
                <w:bCs/>
                <w:szCs w:val="21"/>
                <w:highlight w:val="none"/>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8" w:hRule="atLeast"/>
          <w:jc w:val="center"/>
        </w:trPr>
        <w:tc>
          <w:tcPr>
            <w:tcW w:w="8422" w:type="dxa"/>
            <w:vAlign w:val="center"/>
          </w:tcPr>
          <w:p>
            <w:pPr>
              <w:widowControl/>
              <w:spacing w:line="360" w:lineRule="auto"/>
              <w:ind w:firstLine="420" w:firstLineChars="200"/>
              <w:jc w:val="both"/>
              <w:rPr>
                <w:rFonts w:hint="eastAsia" w:ascii="宋体" w:hAnsi="宋体" w:eastAsia="宋体" w:cs="宋体"/>
                <w:highlight w:val="none"/>
                <w:lang w:val="en-US" w:eastAsia="zh-CN"/>
              </w:rPr>
            </w:pPr>
            <w:r>
              <w:rPr>
                <w:rFonts w:hint="eastAsia" w:ascii="宋体" w:hAnsi="宋体" w:cs="Times New Roman"/>
                <w:kern w:val="2"/>
                <w:sz w:val="21"/>
                <w:szCs w:val="21"/>
                <w:highlight w:val="none"/>
                <w:lang w:bidi="ar-SA"/>
              </w:rPr>
              <w:t>近三年内，</w:t>
            </w:r>
            <w:r>
              <w:rPr>
                <w:rFonts w:hint="eastAsia" w:ascii="宋体" w:hAnsi="宋体" w:cs="Times New Roman"/>
                <w:kern w:val="2"/>
                <w:sz w:val="21"/>
                <w:szCs w:val="21"/>
                <w:highlight w:val="none"/>
                <w:lang w:eastAsia="zh-CN" w:bidi="ar-SA"/>
              </w:rPr>
              <w:t>至少独立完成一项</w:t>
            </w:r>
            <w:r>
              <w:rPr>
                <w:rFonts w:hint="eastAsia" w:ascii="宋体" w:hAnsi="宋体" w:eastAsia="宋体" w:cs="宋体"/>
                <w:highlight w:val="none"/>
                <w:lang w:eastAsia="zh-CN"/>
              </w:rPr>
              <w:t>合同金额在人民币</w:t>
            </w:r>
            <w:r>
              <w:rPr>
                <w:rFonts w:hint="eastAsia" w:ascii="宋体" w:hAnsi="宋体" w:eastAsia="宋体" w:cs="宋体"/>
                <w:highlight w:val="none"/>
                <w:lang w:val="en-US" w:eastAsia="zh-CN"/>
              </w:rPr>
              <w:t>500万元及以上的高速公路</w:t>
            </w:r>
            <w:r>
              <w:rPr>
                <w:rFonts w:hint="eastAsia" w:ascii="宋体" w:hAnsi="宋体" w:eastAsia="宋体" w:cs="宋体"/>
                <w:highlight w:val="none"/>
                <w:lang w:eastAsia="zh-CN"/>
              </w:rPr>
              <w:t>桥梁加固工程或一项合同金额在人民币</w:t>
            </w:r>
            <w:r>
              <w:rPr>
                <w:rFonts w:hint="eastAsia" w:ascii="宋体" w:hAnsi="宋体" w:eastAsia="宋体" w:cs="宋体"/>
                <w:highlight w:val="none"/>
                <w:lang w:val="en-US" w:eastAsia="zh-CN"/>
              </w:rPr>
              <w:t>500万元及以上的高速公路</w:t>
            </w:r>
            <w:r>
              <w:rPr>
                <w:rFonts w:hint="eastAsia" w:ascii="宋体" w:hAnsi="宋体" w:eastAsia="宋体" w:cs="宋体"/>
                <w:highlight w:val="none"/>
                <w:lang w:eastAsia="zh-CN"/>
              </w:rPr>
              <w:t>交通安全设施工程</w:t>
            </w:r>
            <w:r>
              <w:rPr>
                <w:rFonts w:hint="eastAsia" w:ascii="宋体" w:hAnsi="宋体" w:eastAsia="宋体" w:cs="宋体"/>
                <w:highlight w:val="none"/>
                <w:lang w:val="en-US" w:eastAsia="zh-CN"/>
              </w:rPr>
              <w:t>。</w:t>
            </w:r>
          </w:p>
        </w:tc>
      </w:tr>
    </w:tbl>
    <w:p>
      <w:pPr>
        <w:adjustRightInd w:val="0"/>
        <w:snapToGrid w:val="0"/>
        <w:spacing w:line="300" w:lineRule="exact"/>
        <w:rPr>
          <w:rFonts w:hint="eastAsia" w:ascii="宋体" w:hAnsi="宋体" w:cs="宋体"/>
          <w:b/>
          <w:szCs w:val="21"/>
          <w:highlight w:val="none"/>
        </w:rPr>
      </w:pPr>
    </w:p>
    <w:p>
      <w:pPr>
        <w:spacing w:line="480" w:lineRule="auto"/>
        <w:rPr>
          <w:rFonts w:hint="eastAsia" w:ascii="宋体" w:hAnsi="宋体" w:cs="宋体"/>
          <w:szCs w:val="21"/>
          <w:highlight w:val="none"/>
        </w:rPr>
      </w:pPr>
      <w:r>
        <w:rPr>
          <w:rFonts w:hint="eastAsia" w:ascii="宋体" w:hAnsi="宋体" w:cs="宋体"/>
          <w:szCs w:val="21"/>
          <w:highlight w:val="none"/>
        </w:rPr>
        <w:t xml:space="preserve">备注： </w:t>
      </w:r>
      <w:r>
        <w:rPr>
          <w:rFonts w:hint="eastAsia" w:ascii="宋体" w:hAnsi="宋体" w:cs="宋体"/>
          <w:szCs w:val="21"/>
          <w:highlight w:val="none"/>
          <w:lang w:val="en-US" w:eastAsia="zh-CN"/>
        </w:rPr>
        <w:t xml:space="preserve"> </w:t>
      </w:r>
      <w:r>
        <w:rPr>
          <w:rFonts w:hint="eastAsia" w:ascii="宋体" w:hAnsi="宋体" w:cs="宋体"/>
          <w:szCs w:val="21"/>
          <w:highlight w:val="none"/>
        </w:rPr>
        <w:t>1.近三年指2015年1月1日至投标文件递交之日止。</w:t>
      </w:r>
    </w:p>
    <w:p>
      <w:pPr>
        <w:spacing w:line="480" w:lineRule="auto"/>
        <w:ind w:firstLine="840" w:firstLineChars="400"/>
        <w:rPr>
          <w:rFonts w:hint="eastAsia" w:ascii="宋体" w:hAnsi="宋体" w:cs="宋体"/>
          <w:szCs w:val="21"/>
          <w:highlight w:val="none"/>
          <w:lang w:eastAsia="zh-CN"/>
        </w:rPr>
      </w:pPr>
      <w:r>
        <w:rPr>
          <w:rFonts w:hint="eastAsia" w:ascii="宋体" w:hAnsi="宋体" w:cs="宋体"/>
          <w:szCs w:val="21"/>
          <w:highlight w:val="none"/>
          <w:lang w:val="en-US" w:eastAsia="zh-CN"/>
        </w:rPr>
        <w:t>2.</w:t>
      </w:r>
      <w:r>
        <w:rPr>
          <w:rFonts w:hint="eastAsia" w:ascii="宋体" w:hAnsi="宋体" w:cs="宋体"/>
          <w:szCs w:val="21"/>
          <w:highlight w:val="none"/>
        </w:rPr>
        <w:t>业绩计算以交（竣）工验收证书日期为准，投标人应附合同协议书、由发包人出具的工程(标段)交工验收证书(或无交工验收一次性竣工验收的竣工证书)</w:t>
      </w:r>
      <w:r>
        <w:rPr>
          <w:rFonts w:hint="eastAsia" w:ascii="宋体" w:hAnsi="宋体" w:cs="宋体"/>
          <w:szCs w:val="21"/>
          <w:highlight w:val="none"/>
          <w:lang w:eastAsia="zh-CN"/>
        </w:rPr>
        <w:t>。</w:t>
      </w:r>
    </w:p>
    <w:p>
      <w:pPr>
        <w:spacing w:line="480" w:lineRule="auto"/>
        <w:ind w:firstLine="840" w:firstLineChars="400"/>
        <w:rPr>
          <w:rFonts w:hint="eastAsia" w:ascii="宋体" w:hAnsi="宋体" w:cs="宋体"/>
          <w:szCs w:val="21"/>
          <w:highlight w:val="none"/>
          <w:lang w:val="en-US" w:eastAsia="zh-CN"/>
        </w:rPr>
      </w:pPr>
      <w:r>
        <w:rPr>
          <w:rFonts w:hint="eastAsia" w:ascii="宋体" w:hAnsi="宋体" w:cs="宋体"/>
          <w:szCs w:val="21"/>
          <w:highlight w:val="none"/>
          <w:lang w:val="en-US" w:eastAsia="zh-CN"/>
        </w:rPr>
        <w:t>3.高速公路工程指养护大中修工程（不含改扩建）。</w:t>
      </w:r>
    </w:p>
    <w:p>
      <w:pPr>
        <w:spacing w:line="480" w:lineRule="auto"/>
        <w:ind w:firstLine="840" w:firstLineChars="400"/>
        <w:rPr>
          <w:rFonts w:hint="eastAsia" w:ascii="宋体" w:hAnsi="宋体" w:cs="宋体"/>
          <w:szCs w:val="21"/>
          <w:highlight w:val="none"/>
          <w:lang w:val="en-US" w:eastAsia="zh-CN"/>
        </w:rPr>
      </w:pPr>
      <w:r>
        <w:rPr>
          <w:rFonts w:hint="eastAsia" w:ascii="宋体" w:hAnsi="宋体" w:cs="宋体"/>
          <w:szCs w:val="21"/>
          <w:highlight w:val="none"/>
          <w:lang w:val="en-US" w:eastAsia="zh-CN"/>
        </w:rPr>
        <w:t>4.独立完成是指非联合体业绩。</w:t>
      </w: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p>
    <w:p>
      <w:pPr>
        <w:adjustRightInd w:val="0"/>
        <w:snapToGrid w:val="0"/>
        <w:spacing w:line="300" w:lineRule="auto"/>
        <w:jc w:val="center"/>
        <w:rPr>
          <w:rFonts w:hint="eastAsia" w:ascii="宋体" w:hAnsi="宋体" w:cs="宋体"/>
          <w:b/>
          <w:sz w:val="28"/>
          <w:szCs w:val="28"/>
          <w:highlight w:val="none"/>
        </w:rPr>
      </w:pPr>
      <w:r>
        <w:rPr>
          <w:rFonts w:hint="eastAsia" w:ascii="宋体" w:hAnsi="宋体" w:cs="宋体"/>
          <w:b/>
          <w:sz w:val="28"/>
          <w:szCs w:val="28"/>
          <w:highlight w:val="none"/>
        </w:rPr>
        <w:t>附录4  资格审查条件(信誉最低要求)</w:t>
      </w:r>
    </w:p>
    <w:tbl>
      <w:tblPr>
        <w:tblStyle w:val="5"/>
        <w:tblW w:w="82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2" w:hRule="atLeast"/>
          <w:jc w:val="center"/>
        </w:trPr>
        <w:tc>
          <w:tcPr>
            <w:tcW w:w="8264" w:type="dxa"/>
            <w:vAlign w:val="center"/>
          </w:tcPr>
          <w:p>
            <w:pPr>
              <w:adjustRightInd w:val="0"/>
              <w:snapToGrid w:val="0"/>
              <w:spacing w:line="400" w:lineRule="atLeast"/>
              <w:jc w:val="center"/>
              <w:rPr>
                <w:rFonts w:hint="eastAsia" w:ascii="宋体" w:hAnsi="宋体" w:cs="宋体"/>
                <w:szCs w:val="21"/>
                <w:highlight w:val="none"/>
              </w:rPr>
            </w:pPr>
            <w:r>
              <w:rPr>
                <w:rFonts w:hint="eastAsia" w:ascii="宋体" w:hAnsi="宋体" w:cs="宋体"/>
                <w:szCs w:val="21"/>
                <w:highlight w:val="none"/>
              </w:rPr>
              <w:t>信 誉 要 求（近三年）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1" w:hRule="atLeast"/>
          <w:jc w:val="center"/>
        </w:trPr>
        <w:tc>
          <w:tcPr>
            <w:tcW w:w="8264" w:type="dxa"/>
            <w:vAlign w:val="center"/>
          </w:tcPr>
          <w:p>
            <w:pPr>
              <w:pStyle w:val="6"/>
              <w:numPr>
                <w:ilvl w:val="0"/>
                <w:numId w:val="3"/>
              </w:numPr>
              <w:spacing w:line="360" w:lineRule="auto"/>
              <w:ind w:right="-51"/>
              <w:rPr>
                <w:rFonts w:hint="eastAsia" w:ascii="宋体" w:hAnsi="宋体" w:cs="宋体"/>
                <w:szCs w:val="21"/>
                <w:highlight w:val="none"/>
              </w:rPr>
            </w:pPr>
            <w:r>
              <w:rPr>
                <w:rFonts w:hint="eastAsia" w:ascii="宋体" w:hAnsi="宋体" w:cs="宋体"/>
                <w:szCs w:val="21"/>
                <w:highlight w:val="none"/>
              </w:rPr>
              <w:t>没有处于被责令停业，财务处于被接管、冻结、破产状态；</w:t>
            </w:r>
          </w:p>
          <w:p>
            <w:pPr>
              <w:pStyle w:val="6"/>
              <w:spacing w:line="360" w:lineRule="auto"/>
              <w:ind w:right="-51"/>
              <w:rPr>
                <w:rFonts w:hint="eastAsia" w:ascii="宋体" w:hAnsi="宋体" w:cs="宋体"/>
                <w:szCs w:val="21"/>
                <w:highlight w:val="none"/>
              </w:rPr>
            </w:pPr>
            <w:r>
              <w:rPr>
                <w:rFonts w:hint="eastAsia" w:ascii="宋体" w:hAnsi="宋体" w:cs="宋体"/>
                <w:szCs w:val="21"/>
                <w:highlight w:val="none"/>
              </w:rPr>
              <w:t>2、没有被国家住建部、交通运输部、广东省交通运输厅通报且取消相应投标资格（处于有效期内）；</w:t>
            </w:r>
          </w:p>
          <w:p>
            <w:pPr>
              <w:pStyle w:val="6"/>
              <w:spacing w:line="360" w:lineRule="auto"/>
              <w:ind w:right="-51"/>
              <w:rPr>
                <w:rFonts w:hint="eastAsia" w:ascii="宋体" w:hAnsi="宋体" w:cs="宋体"/>
                <w:szCs w:val="21"/>
                <w:highlight w:val="none"/>
              </w:rPr>
            </w:pPr>
            <w:r>
              <w:rPr>
                <w:rFonts w:hint="eastAsia" w:ascii="宋体" w:hAnsi="宋体" w:cs="宋体"/>
                <w:szCs w:val="21"/>
                <w:highlight w:val="none"/>
              </w:rPr>
              <w:t>3、投标人没有涉及正在诉讼的案件，或虽涉及正在诉讼的案件但经评审委员会认定不会对承担本项目造成重大影响。</w:t>
            </w:r>
          </w:p>
          <w:p>
            <w:pPr>
              <w:pStyle w:val="6"/>
              <w:numPr>
                <w:ilvl w:val="0"/>
                <w:numId w:val="4"/>
              </w:numPr>
              <w:spacing w:line="360" w:lineRule="auto"/>
              <w:ind w:right="-51"/>
              <w:rPr>
                <w:rFonts w:hint="eastAsia" w:ascii="宋体" w:hAnsi="宋体" w:cs="宋体"/>
                <w:szCs w:val="21"/>
                <w:highlight w:val="none"/>
              </w:rPr>
            </w:pPr>
            <w:r>
              <w:rPr>
                <w:rFonts w:hint="eastAsia" w:ascii="宋体" w:hAnsi="宋体" w:cs="宋体"/>
                <w:szCs w:val="21"/>
                <w:highlight w:val="none"/>
              </w:rPr>
              <w:t>投标人、投标人的法定代表人、</w:t>
            </w:r>
            <w:r>
              <w:rPr>
                <w:rFonts w:hint="eastAsia" w:ascii="宋体" w:hAnsi="宋体" w:cs="宋体"/>
                <w:szCs w:val="21"/>
                <w:highlight w:val="none"/>
                <w:lang w:val="zh-CN"/>
              </w:rPr>
              <w:t>拟委任的项目经理、项目总工程师均没有因行贿犯罪而被人民法院判决、裁定生效的行为。（须提供中国裁判文书网（http://wenshu.court.gov.cn/）无行贿犯罪记录的网页截图）</w:t>
            </w:r>
          </w:p>
        </w:tc>
      </w:tr>
    </w:tbl>
    <w:p>
      <w:pPr>
        <w:pStyle w:val="6"/>
        <w:spacing w:line="480" w:lineRule="auto"/>
        <w:ind w:left="420" w:right="-51" w:hanging="420" w:hangingChars="200"/>
        <w:rPr>
          <w:rFonts w:hint="eastAsia" w:ascii="宋体" w:hAnsi="宋体" w:cs="宋体"/>
          <w:szCs w:val="21"/>
          <w:highlight w:val="none"/>
        </w:rPr>
      </w:pPr>
    </w:p>
    <w:p>
      <w:pPr>
        <w:spacing w:line="480" w:lineRule="auto"/>
        <w:rPr>
          <w:highlight w:val="none"/>
        </w:rPr>
      </w:pPr>
      <w:r>
        <w:rPr>
          <w:rFonts w:hint="eastAsia" w:ascii="宋体" w:hAnsi="宋体" w:cs="宋体"/>
          <w:szCs w:val="21"/>
          <w:highlight w:val="none"/>
        </w:rPr>
        <w:t>备注：行贿犯罪行为的认定以</w:t>
      </w:r>
      <w:r>
        <w:rPr>
          <w:rFonts w:hint="eastAsia" w:ascii="宋体" w:hAnsi="宋体" w:cs="宋体"/>
          <w:szCs w:val="21"/>
          <w:highlight w:val="none"/>
          <w:lang w:eastAsia="zh-CN"/>
        </w:rPr>
        <w:t>中国裁判文书网（http://wenshu.court.gov.cn/）查询结果为准，投标人应将网页查询截图附在投标文件正本中，对于投标人拟委任的项目经理、项目总工的行贿犯罪行为查询，招标人将在中标候选人公示期间通过中国裁判文书网确认，如投标人投标文件中递交的网页截图与招标人查询结果不一致的，将否决其投标</w:t>
      </w:r>
      <w:r>
        <w:rPr>
          <w:rFonts w:hint="eastAsia" w:ascii="宋体" w:hAnsi="宋体" w:cs="宋体"/>
          <w:szCs w:val="21"/>
          <w:highlight w:val="none"/>
          <w:lang w:val="en-US" w:eastAsia="zh-CN"/>
        </w:rPr>
        <w:t>。</w:t>
      </w:r>
    </w:p>
    <w:p>
      <w:pPr>
        <w:numPr>
          <w:ilvl w:val="0"/>
          <w:numId w:val="0"/>
        </w:numPr>
        <w:spacing w:line="480" w:lineRule="auto"/>
        <w:ind w:right="-51" w:rightChars="0"/>
        <w:rPr>
          <w:rFonts w:hint="eastAsia" w:ascii="宋体" w:hAnsi="宋体" w:cs="宋体"/>
          <w:b/>
          <w:szCs w:val="21"/>
          <w:highlight w:val="none"/>
        </w:rPr>
      </w:pPr>
      <w:r>
        <w:rPr>
          <w:rFonts w:hint="eastAsia" w:ascii="宋体" w:hAnsi="宋体" w:cs="宋体"/>
          <w:b/>
          <w:szCs w:val="21"/>
          <w:highlight w:val="none"/>
        </w:rPr>
        <w:br w:type="page"/>
      </w:r>
    </w:p>
    <w:p>
      <w:pPr>
        <w:adjustRightInd w:val="0"/>
        <w:snapToGrid w:val="0"/>
        <w:spacing w:line="300" w:lineRule="auto"/>
        <w:jc w:val="center"/>
        <w:rPr>
          <w:rFonts w:hint="eastAsia" w:ascii="宋体" w:hAnsi="宋体" w:cs="宋体"/>
          <w:b/>
          <w:sz w:val="28"/>
          <w:szCs w:val="28"/>
          <w:highlight w:val="none"/>
        </w:rPr>
      </w:pPr>
      <w:r>
        <w:rPr>
          <w:rFonts w:hint="eastAsia" w:ascii="宋体" w:hAnsi="宋体" w:cs="宋体"/>
          <w:b/>
          <w:sz w:val="28"/>
          <w:szCs w:val="28"/>
          <w:highlight w:val="none"/>
        </w:rPr>
        <w:t>附录5   资格审查条件(人员最低要求)</w:t>
      </w:r>
    </w:p>
    <w:p>
      <w:pPr>
        <w:adjustRightInd w:val="0"/>
        <w:snapToGrid w:val="0"/>
        <w:spacing w:line="300" w:lineRule="auto"/>
        <w:jc w:val="center"/>
        <w:rPr>
          <w:rFonts w:hint="eastAsia" w:ascii="宋体" w:hAnsi="宋体" w:cs="宋体"/>
          <w:szCs w:val="21"/>
          <w:highlight w:val="none"/>
        </w:rPr>
      </w:pPr>
    </w:p>
    <w:tbl>
      <w:tblPr>
        <w:tblStyle w:val="5"/>
        <w:tblW w:w="87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8"/>
        <w:gridCol w:w="1006"/>
        <w:gridCol w:w="4065"/>
        <w:gridCol w:w="2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440" w:hRule="atLeast"/>
          <w:jc w:val="center"/>
        </w:trPr>
        <w:tc>
          <w:tcPr>
            <w:tcW w:w="1248" w:type="dxa"/>
            <w:vAlign w:val="center"/>
          </w:tcPr>
          <w:p>
            <w:pPr>
              <w:adjustRightInd w:val="0"/>
              <w:snapToGrid w:val="0"/>
              <w:spacing w:line="300" w:lineRule="auto"/>
              <w:jc w:val="center"/>
              <w:rPr>
                <w:rFonts w:hint="eastAsia" w:ascii="宋体" w:hAnsi="宋体" w:cs="宋体"/>
                <w:b/>
                <w:szCs w:val="21"/>
                <w:highlight w:val="none"/>
              </w:rPr>
            </w:pPr>
            <w:r>
              <w:rPr>
                <w:rFonts w:hint="eastAsia" w:ascii="宋体" w:hAnsi="宋体" w:cs="宋体"/>
                <w:b/>
                <w:szCs w:val="21"/>
                <w:highlight w:val="none"/>
              </w:rPr>
              <w:t>人   员</w:t>
            </w:r>
          </w:p>
        </w:tc>
        <w:tc>
          <w:tcPr>
            <w:tcW w:w="1006" w:type="dxa"/>
            <w:vAlign w:val="center"/>
          </w:tcPr>
          <w:p>
            <w:pPr>
              <w:adjustRightInd w:val="0"/>
              <w:snapToGrid w:val="0"/>
              <w:spacing w:line="300" w:lineRule="auto"/>
              <w:jc w:val="center"/>
              <w:rPr>
                <w:rFonts w:hint="eastAsia" w:ascii="宋体" w:hAnsi="宋体" w:cs="宋体"/>
                <w:b/>
                <w:szCs w:val="21"/>
                <w:highlight w:val="none"/>
              </w:rPr>
            </w:pPr>
            <w:r>
              <w:rPr>
                <w:rFonts w:hint="eastAsia" w:ascii="宋体" w:hAnsi="宋体" w:cs="宋体"/>
                <w:b/>
                <w:szCs w:val="21"/>
                <w:highlight w:val="none"/>
              </w:rPr>
              <w:t>数 量（人）</w:t>
            </w:r>
          </w:p>
        </w:tc>
        <w:tc>
          <w:tcPr>
            <w:tcW w:w="4065" w:type="dxa"/>
            <w:vAlign w:val="center"/>
          </w:tcPr>
          <w:p>
            <w:pPr>
              <w:adjustRightInd w:val="0"/>
              <w:snapToGrid w:val="0"/>
              <w:spacing w:line="300" w:lineRule="auto"/>
              <w:jc w:val="center"/>
              <w:rPr>
                <w:rFonts w:hint="eastAsia" w:ascii="宋体" w:hAnsi="宋体" w:cs="宋体"/>
                <w:b/>
                <w:szCs w:val="21"/>
                <w:highlight w:val="none"/>
              </w:rPr>
            </w:pPr>
            <w:r>
              <w:rPr>
                <w:rFonts w:hint="eastAsia" w:ascii="宋体" w:hAnsi="宋体" w:cs="宋体"/>
                <w:b/>
                <w:szCs w:val="21"/>
                <w:highlight w:val="none"/>
              </w:rPr>
              <w:t xml:space="preserve">资  </w:t>
            </w:r>
            <w:r>
              <w:rPr>
                <w:rFonts w:hint="eastAsia" w:ascii="宋体" w:hAnsi="宋体" w:cs="宋体"/>
                <w:b/>
                <w:szCs w:val="21"/>
                <w:highlight w:val="none"/>
                <w:lang w:eastAsia="zh-CN"/>
              </w:rPr>
              <w:t>格</w:t>
            </w:r>
            <w:r>
              <w:rPr>
                <w:rFonts w:hint="eastAsia" w:ascii="宋体" w:hAnsi="宋体" w:cs="宋体"/>
                <w:b/>
                <w:szCs w:val="21"/>
                <w:highlight w:val="none"/>
              </w:rPr>
              <w:t xml:space="preserve">  要  求</w:t>
            </w:r>
          </w:p>
        </w:tc>
        <w:tc>
          <w:tcPr>
            <w:tcW w:w="2446" w:type="dxa"/>
            <w:vAlign w:val="center"/>
          </w:tcPr>
          <w:p>
            <w:pPr>
              <w:adjustRightInd w:val="0"/>
              <w:snapToGrid w:val="0"/>
              <w:spacing w:line="300" w:lineRule="auto"/>
              <w:jc w:val="center"/>
              <w:rPr>
                <w:rFonts w:hint="eastAsia" w:ascii="宋体" w:hAnsi="宋体" w:eastAsia="宋体" w:cs="宋体"/>
                <w:b/>
                <w:szCs w:val="21"/>
                <w:highlight w:val="none"/>
                <w:lang w:eastAsia="zh-CN"/>
              </w:rPr>
            </w:pPr>
            <w:r>
              <w:rPr>
                <w:rFonts w:hint="eastAsia" w:ascii="宋体" w:hAnsi="宋体" w:cs="宋体"/>
                <w:b/>
                <w:szCs w:val="21"/>
                <w:highlight w:val="none"/>
                <w:lang w:eastAsia="zh-CN"/>
              </w:rPr>
              <w:t>在岗要求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91" w:hRule="atLeast"/>
          <w:jc w:val="center"/>
        </w:trPr>
        <w:tc>
          <w:tcPr>
            <w:tcW w:w="1248" w:type="dxa"/>
            <w:vAlign w:val="center"/>
          </w:tcPr>
          <w:p>
            <w:pPr>
              <w:spacing w:line="300" w:lineRule="auto"/>
              <w:jc w:val="center"/>
              <w:rPr>
                <w:rFonts w:hint="eastAsia" w:ascii="宋体" w:hAnsi="宋体" w:cs="宋体"/>
                <w:szCs w:val="21"/>
                <w:highlight w:val="none"/>
              </w:rPr>
            </w:pPr>
            <w:r>
              <w:rPr>
                <w:rFonts w:hint="eastAsia" w:ascii="宋体" w:hAnsi="宋体" w:cs="宋体"/>
                <w:szCs w:val="21"/>
                <w:highlight w:val="none"/>
              </w:rPr>
              <w:t>项目经理</w:t>
            </w:r>
          </w:p>
        </w:tc>
        <w:tc>
          <w:tcPr>
            <w:tcW w:w="1006" w:type="dxa"/>
            <w:vAlign w:val="center"/>
          </w:tcPr>
          <w:p>
            <w:pPr>
              <w:adjustRightInd w:val="0"/>
              <w:snapToGrid w:val="0"/>
              <w:spacing w:line="300" w:lineRule="auto"/>
              <w:jc w:val="center"/>
              <w:rPr>
                <w:rFonts w:hint="eastAsia" w:ascii="宋体" w:hAnsi="宋体" w:cs="宋体"/>
                <w:szCs w:val="21"/>
                <w:highlight w:val="none"/>
              </w:rPr>
            </w:pPr>
            <w:r>
              <w:rPr>
                <w:rFonts w:hint="eastAsia" w:ascii="宋体" w:hAnsi="宋体" w:cs="宋体"/>
                <w:szCs w:val="21"/>
                <w:highlight w:val="none"/>
              </w:rPr>
              <w:t>1</w:t>
            </w:r>
          </w:p>
        </w:tc>
        <w:tc>
          <w:tcPr>
            <w:tcW w:w="4065" w:type="dxa"/>
            <w:vAlign w:val="center"/>
          </w:tcPr>
          <w:p>
            <w:pPr>
              <w:spacing w:line="360" w:lineRule="auto"/>
              <w:jc w:val="left"/>
              <w:rPr>
                <w:rFonts w:hint="eastAsia" w:ascii="宋体" w:hAnsi="宋体" w:eastAsia="宋体" w:cs="宋体"/>
                <w:szCs w:val="21"/>
                <w:highlight w:val="none"/>
                <w:lang w:val="en-US" w:eastAsia="zh-CN"/>
              </w:rPr>
            </w:pPr>
            <w:r>
              <w:rPr>
                <w:rFonts w:hint="eastAsia" w:ascii="宋体" w:hAnsi="宋体" w:cs="宋体"/>
                <w:szCs w:val="21"/>
                <w:highlight w:val="none"/>
                <w:lang w:eastAsia="zh-CN"/>
              </w:rPr>
              <w:t>必须具有路桥工程师及以上职称，必须具备类似工程施工经验</w:t>
            </w:r>
            <w:r>
              <w:rPr>
                <w:rFonts w:hint="eastAsia" w:ascii="宋体" w:hAnsi="宋体" w:cs="宋体"/>
                <w:szCs w:val="21"/>
                <w:highlight w:val="none"/>
                <w:lang w:val="en-US" w:eastAsia="zh-CN"/>
              </w:rPr>
              <w:t>5年，另在此期间至少担任过1个类似工程项目经理（或项目副经理或项目总工）职位，且持有住房和城乡建设部颁发的公路工程专业二级注册建造师注册证书（不含临时资格证书），具有有效安全生产“三类人员”B类证书，年龄不超过50周岁。</w:t>
            </w:r>
          </w:p>
        </w:tc>
        <w:tc>
          <w:tcPr>
            <w:tcW w:w="2446" w:type="dxa"/>
            <w:vMerge w:val="restart"/>
            <w:vAlign w:val="center"/>
          </w:tcPr>
          <w:p>
            <w:pPr>
              <w:spacing w:line="360" w:lineRule="auto"/>
              <w:jc w:val="left"/>
              <w:rPr>
                <w:rFonts w:hint="eastAsia" w:ascii="宋体" w:hAnsi="宋体" w:eastAsia="宋体"/>
                <w:highlight w:val="none"/>
                <w:lang w:eastAsia="zh-CN"/>
              </w:rPr>
            </w:pPr>
            <w:r>
              <w:rPr>
                <w:rFonts w:hint="eastAsia" w:ascii="宋体" w:hAnsi="宋体"/>
                <w:highlight w:val="none"/>
                <w:lang w:eastAsia="zh-CN"/>
              </w:rPr>
              <w:t>无在岗项目（指目前未在其他项目上任职，或虽在其他项目上任职但本项目中标后能够从该项目撤离）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43" w:hRule="atLeast"/>
          <w:jc w:val="center"/>
        </w:trPr>
        <w:tc>
          <w:tcPr>
            <w:tcW w:w="1248" w:type="dxa"/>
            <w:vAlign w:val="center"/>
          </w:tcPr>
          <w:p>
            <w:pPr>
              <w:spacing w:line="300" w:lineRule="auto"/>
              <w:jc w:val="center"/>
              <w:rPr>
                <w:rFonts w:hint="eastAsia" w:ascii="宋体" w:hAnsi="宋体" w:cs="宋体"/>
                <w:szCs w:val="21"/>
                <w:highlight w:val="none"/>
              </w:rPr>
            </w:pPr>
            <w:r>
              <w:rPr>
                <w:rFonts w:hint="eastAsia" w:ascii="宋体" w:hAnsi="宋体" w:cs="宋体"/>
                <w:szCs w:val="21"/>
                <w:highlight w:val="none"/>
              </w:rPr>
              <w:t>项目总工程师</w:t>
            </w:r>
          </w:p>
        </w:tc>
        <w:tc>
          <w:tcPr>
            <w:tcW w:w="1006" w:type="dxa"/>
            <w:vAlign w:val="center"/>
          </w:tcPr>
          <w:p>
            <w:pPr>
              <w:adjustRightInd w:val="0"/>
              <w:snapToGrid w:val="0"/>
              <w:spacing w:line="300" w:lineRule="auto"/>
              <w:jc w:val="center"/>
              <w:rPr>
                <w:rFonts w:hint="eastAsia" w:ascii="宋体" w:hAnsi="宋体" w:cs="宋体"/>
                <w:szCs w:val="21"/>
                <w:highlight w:val="none"/>
              </w:rPr>
            </w:pPr>
            <w:r>
              <w:rPr>
                <w:rFonts w:hint="eastAsia" w:ascii="宋体" w:hAnsi="宋体" w:cs="宋体"/>
                <w:szCs w:val="21"/>
                <w:highlight w:val="none"/>
              </w:rPr>
              <w:t>1</w:t>
            </w:r>
          </w:p>
        </w:tc>
        <w:tc>
          <w:tcPr>
            <w:tcW w:w="4065" w:type="dxa"/>
            <w:vAlign w:val="center"/>
          </w:tcPr>
          <w:p>
            <w:pPr>
              <w:spacing w:line="360" w:lineRule="auto"/>
              <w:jc w:val="left"/>
              <w:rPr>
                <w:rFonts w:hint="eastAsia" w:ascii="宋体" w:hAnsi="宋体" w:cs="宋体"/>
                <w:szCs w:val="21"/>
                <w:highlight w:val="none"/>
              </w:rPr>
            </w:pPr>
            <w:r>
              <w:rPr>
                <w:rFonts w:hint="eastAsia" w:ascii="宋体" w:hAnsi="宋体"/>
                <w:highlight w:val="none"/>
              </w:rPr>
              <w:t>必须具有</w:t>
            </w:r>
            <w:r>
              <w:rPr>
                <w:rFonts w:hint="eastAsia" w:ascii="宋体" w:hAnsi="宋体"/>
                <w:highlight w:val="none"/>
                <w:lang w:eastAsia="zh-CN"/>
              </w:rPr>
              <w:t>路桥工程师</w:t>
            </w:r>
            <w:r>
              <w:rPr>
                <w:rFonts w:hint="eastAsia" w:ascii="宋体" w:hAnsi="宋体" w:cs="宋体"/>
                <w:szCs w:val="21"/>
                <w:highlight w:val="none"/>
                <w:lang w:eastAsia="zh-CN"/>
              </w:rPr>
              <w:t>及以上</w:t>
            </w:r>
            <w:r>
              <w:rPr>
                <w:rFonts w:hint="eastAsia" w:ascii="宋体" w:hAnsi="宋体"/>
                <w:szCs w:val="21"/>
                <w:highlight w:val="none"/>
              </w:rPr>
              <w:t>职称，</w:t>
            </w:r>
            <w:r>
              <w:rPr>
                <w:rFonts w:hint="eastAsia" w:ascii="宋体" w:hAnsi="宋体"/>
                <w:szCs w:val="21"/>
                <w:highlight w:val="none"/>
                <w:lang w:eastAsia="zh-CN"/>
              </w:rPr>
              <w:t>必须担任过</w:t>
            </w:r>
            <w:r>
              <w:rPr>
                <w:rFonts w:hint="eastAsia" w:ascii="宋体" w:hAnsi="宋体"/>
                <w:szCs w:val="21"/>
                <w:highlight w:val="none"/>
                <w:lang w:val="en-US" w:eastAsia="zh-CN"/>
              </w:rPr>
              <w:t>1个类似工程项目总工程师职位，具有有效安全生产“三类人员”B类证书，年龄不超过50周岁。</w:t>
            </w:r>
            <w:r>
              <w:rPr>
                <w:rFonts w:hint="eastAsia" w:ascii="宋体" w:hAnsi="宋体" w:cs="宋体"/>
                <w:kern w:val="0"/>
                <w:szCs w:val="21"/>
                <w:highlight w:val="none"/>
              </w:rPr>
              <w:t xml:space="preserve">                                                                                                                                      </w:t>
            </w:r>
          </w:p>
        </w:tc>
        <w:tc>
          <w:tcPr>
            <w:tcW w:w="2446" w:type="dxa"/>
            <w:vMerge w:val="continue"/>
            <w:vAlign w:val="center"/>
          </w:tcPr>
          <w:p>
            <w:pPr>
              <w:spacing w:line="360" w:lineRule="auto"/>
              <w:jc w:val="left"/>
              <w:rPr>
                <w:rFonts w:hint="eastAsia" w:ascii="宋体" w:hAnsi="宋体"/>
                <w:highlight w:val="none"/>
              </w:rPr>
            </w:pPr>
          </w:p>
        </w:tc>
      </w:tr>
    </w:tbl>
    <w:p>
      <w:pPr>
        <w:rPr>
          <w:rFonts w:hint="eastAsia" w:ascii="宋体" w:hAnsi="宋体" w:cs="宋体"/>
          <w:b/>
          <w:szCs w:val="21"/>
          <w:highlight w:val="none"/>
        </w:rPr>
      </w:pPr>
    </w:p>
    <w:p>
      <w:pPr>
        <w:adjustRightInd w:val="0"/>
        <w:snapToGrid w:val="0"/>
        <w:spacing w:line="360" w:lineRule="auto"/>
        <w:ind w:right="-141" w:rightChars="-67"/>
        <w:rPr>
          <w:rFonts w:hint="eastAsia" w:ascii="宋体" w:hAnsi="宋体" w:eastAsia="宋体" w:cs="宋体"/>
          <w:bCs/>
          <w:sz w:val="21"/>
          <w:szCs w:val="21"/>
          <w:highlight w:val="none"/>
        </w:rPr>
      </w:pPr>
      <w:r>
        <w:rPr>
          <w:rFonts w:hint="eastAsia" w:ascii="宋体" w:hAnsi="宋体" w:eastAsia="宋体" w:cs="宋体"/>
          <w:bCs/>
          <w:sz w:val="21"/>
          <w:szCs w:val="21"/>
          <w:highlight w:val="none"/>
        </w:rPr>
        <w:t>备注：1</w:t>
      </w:r>
      <w:r>
        <w:rPr>
          <w:rFonts w:hint="eastAsia" w:ascii="宋体" w:hAnsi="宋体" w:eastAsia="宋体" w:cs="宋体"/>
          <w:bCs/>
          <w:sz w:val="21"/>
          <w:szCs w:val="21"/>
          <w:highlight w:val="none"/>
          <w:lang w:val="en-US" w:eastAsia="zh-CN"/>
        </w:rPr>
        <w:t>.</w:t>
      </w:r>
      <w:r>
        <w:rPr>
          <w:rFonts w:hint="eastAsia" w:ascii="宋体" w:hAnsi="宋体" w:eastAsia="宋体" w:cs="宋体"/>
          <w:bCs/>
          <w:sz w:val="21"/>
          <w:szCs w:val="21"/>
          <w:highlight w:val="none"/>
        </w:rPr>
        <w:t>项目经理所持住房和城乡建设部颁发的</w:t>
      </w:r>
      <w:r>
        <w:rPr>
          <w:rFonts w:hint="eastAsia" w:ascii="宋体" w:hAnsi="宋体" w:eastAsia="宋体" w:cs="宋体"/>
          <w:bCs/>
          <w:sz w:val="21"/>
          <w:szCs w:val="21"/>
          <w:highlight w:val="none"/>
          <w:lang w:eastAsia="zh-CN"/>
        </w:rPr>
        <w:t>二</w:t>
      </w:r>
      <w:r>
        <w:rPr>
          <w:rFonts w:hint="eastAsia" w:ascii="宋体" w:hAnsi="宋体" w:eastAsia="宋体" w:cs="宋体"/>
          <w:bCs/>
          <w:sz w:val="21"/>
          <w:szCs w:val="21"/>
          <w:highlight w:val="none"/>
        </w:rPr>
        <w:t>级注册建造师应注册在投标人所在单位，否则视为无效。</w:t>
      </w:r>
    </w:p>
    <w:p>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right="-141" w:rightChars="-67" w:firstLine="630" w:firstLineChars="300"/>
        <w:jc w:val="both"/>
        <w:textAlignment w:val="auto"/>
        <w:outlineLvl w:val="9"/>
        <w:rPr>
          <w:rFonts w:hint="eastAsia" w:ascii="宋体" w:hAnsi="宋体" w:eastAsia="宋体" w:cs="宋体"/>
          <w:bCs/>
          <w:sz w:val="21"/>
          <w:szCs w:val="21"/>
          <w:highlight w:val="none"/>
        </w:rPr>
      </w:pPr>
      <w:r>
        <w:rPr>
          <w:rFonts w:hint="eastAsia" w:ascii="宋体" w:hAnsi="宋体" w:eastAsia="宋体" w:cs="宋体"/>
          <w:bCs/>
          <w:sz w:val="21"/>
          <w:szCs w:val="21"/>
          <w:highlight w:val="none"/>
        </w:rPr>
        <w:t>上述工作时间以“拟委任的项目经理和项目总工资历表”填入的第一个项目经历的时间为起始时间。所报人员须附有效的证明材料，否则</w:t>
      </w:r>
      <w:r>
        <w:rPr>
          <w:rFonts w:hint="eastAsia" w:ascii="宋体" w:hAnsi="宋体" w:eastAsia="宋体" w:cs="宋体"/>
          <w:bCs/>
          <w:sz w:val="21"/>
          <w:szCs w:val="21"/>
          <w:highlight w:val="none"/>
          <w:lang w:eastAsia="zh-CN"/>
        </w:rPr>
        <w:t>视为</w:t>
      </w:r>
      <w:r>
        <w:rPr>
          <w:rFonts w:hint="eastAsia" w:ascii="宋体" w:hAnsi="宋体" w:eastAsia="宋体" w:cs="宋体"/>
          <w:bCs/>
          <w:sz w:val="21"/>
          <w:szCs w:val="21"/>
          <w:highlight w:val="none"/>
        </w:rPr>
        <w:t>无效。</w:t>
      </w:r>
    </w:p>
    <w:p>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right="-141" w:rightChars="-67" w:firstLine="632" w:firstLineChars="300"/>
        <w:jc w:val="both"/>
        <w:textAlignment w:val="auto"/>
        <w:outlineLvl w:val="9"/>
        <w:rPr>
          <w:rFonts w:hint="eastAsia" w:ascii="宋体" w:hAnsi="宋体" w:eastAsia="宋体" w:cs="宋体"/>
          <w:bCs/>
          <w:sz w:val="21"/>
          <w:szCs w:val="21"/>
          <w:highlight w:val="none"/>
        </w:rPr>
      </w:pPr>
      <w:r>
        <w:rPr>
          <w:rFonts w:hint="eastAsia" w:ascii="宋体" w:hAnsi="宋体" w:eastAsia="宋体" w:cs="宋体"/>
          <w:b/>
          <w:bCs w:val="0"/>
          <w:sz w:val="21"/>
          <w:szCs w:val="21"/>
          <w:highlight w:val="none"/>
          <w:lang w:eastAsia="zh-CN"/>
        </w:rPr>
        <w:t>项目经理的二级建造师证书应附盖有中华人民共和国建设部颁发的注册证书全本，否则视为无效。</w:t>
      </w:r>
      <w:r>
        <w:rPr>
          <w:rFonts w:hint="eastAsia" w:ascii="宋体" w:hAnsi="宋体" w:eastAsia="宋体" w:cs="宋体"/>
          <w:bCs/>
          <w:sz w:val="21"/>
          <w:szCs w:val="21"/>
          <w:highlight w:val="none"/>
        </w:rPr>
        <w:t xml:space="preserve">  </w:t>
      </w:r>
    </w:p>
    <w:p>
      <w:pPr>
        <w:spacing w:line="360" w:lineRule="auto"/>
        <w:rPr>
          <w:rFonts w:hint="eastAsia" w:ascii="宋体" w:hAnsi="宋体" w:eastAsia="宋体" w:cs="宋体"/>
          <w:bCs/>
          <w:sz w:val="21"/>
          <w:szCs w:val="21"/>
          <w:highlight w:val="none"/>
          <w:lang w:eastAsia="zh-CN"/>
        </w:rPr>
      </w:pPr>
      <w:r>
        <w:rPr>
          <w:rFonts w:hint="eastAsia" w:ascii="宋体" w:hAnsi="宋体" w:eastAsia="宋体" w:cs="宋体"/>
          <w:bCs/>
          <w:sz w:val="21"/>
          <w:szCs w:val="21"/>
          <w:highlight w:val="none"/>
        </w:rPr>
        <w:t xml:space="preserve">    </w:t>
      </w:r>
      <w:r>
        <w:rPr>
          <w:rFonts w:hint="eastAsia" w:ascii="宋体" w:hAnsi="宋体" w:eastAsia="宋体" w:cs="宋体"/>
          <w:bCs/>
          <w:sz w:val="21"/>
          <w:szCs w:val="21"/>
          <w:highlight w:val="none"/>
          <w:lang w:val="en-US" w:eastAsia="zh-CN"/>
        </w:rPr>
        <w:t xml:space="preserve">  4.</w:t>
      </w:r>
      <w:r>
        <w:rPr>
          <w:rFonts w:hint="eastAsia" w:ascii="宋体" w:hAnsi="宋体" w:eastAsia="宋体" w:cs="宋体"/>
          <w:bCs/>
          <w:sz w:val="21"/>
          <w:szCs w:val="21"/>
          <w:highlight w:val="none"/>
        </w:rPr>
        <w:t>上表中的类似工程指</w:t>
      </w:r>
      <w:r>
        <w:rPr>
          <w:rFonts w:hint="eastAsia" w:ascii="宋体" w:hAnsi="宋体" w:eastAsia="宋体" w:cs="宋体"/>
          <w:bCs/>
          <w:sz w:val="21"/>
          <w:szCs w:val="21"/>
          <w:highlight w:val="none"/>
          <w:lang w:eastAsia="zh-CN"/>
        </w:rPr>
        <w:t>高速公路桥梁加固养护大中修工程或</w:t>
      </w:r>
      <w:r>
        <w:rPr>
          <w:rFonts w:hint="eastAsia" w:ascii="宋体" w:hAnsi="宋体" w:eastAsia="宋体" w:cs="宋体"/>
          <w:highlight w:val="none"/>
          <w:lang w:eastAsia="zh-CN"/>
        </w:rPr>
        <w:t>高速公路交通安全设施养护大中修工程</w:t>
      </w:r>
      <w:r>
        <w:rPr>
          <w:rFonts w:hint="eastAsia" w:ascii="宋体" w:hAnsi="宋体" w:eastAsia="宋体" w:cs="宋体"/>
          <w:bCs/>
          <w:sz w:val="21"/>
          <w:szCs w:val="21"/>
          <w:highlight w:val="none"/>
          <w:lang w:eastAsia="zh-CN"/>
        </w:rPr>
        <w:t>。</w:t>
      </w:r>
    </w:p>
    <w:p>
      <w:pPr>
        <w:spacing w:line="360" w:lineRule="auto"/>
        <w:rPr>
          <w:rFonts w:hint="eastAsia"/>
          <w:szCs w:val="21"/>
          <w:highlight w:val="none"/>
          <w:lang w:eastAsia="zh-CN"/>
        </w:rPr>
      </w:pPr>
      <w:r>
        <w:rPr>
          <w:rFonts w:hint="eastAsia" w:ascii="宋体" w:hAnsi="宋体" w:eastAsia="宋体" w:cs="宋体"/>
          <w:bCs/>
          <w:sz w:val="21"/>
          <w:szCs w:val="21"/>
          <w:highlight w:val="none"/>
          <w:lang w:val="en-US" w:eastAsia="zh-CN"/>
        </w:rPr>
        <w:t xml:space="preserve">      5.</w:t>
      </w:r>
      <w:r>
        <w:rPr>
          <w:rFonts w:hint="eastAsia"/>
          <w:szCs w:val="21"/>
          <w:highlight w:val="none"/>
        </w:rPr>
        <w:t>以上人员</w:t>
      </w:r>
      <w:r>
        <w:rPr>
          <w:rFonts w:hint="eastAsia"/>
          <w:szCs w:val="21"/>
          <w:highlight w:val="none"/>
          <w:lang w:eastAsia="zh-CN"/>
        </w:rPr>
        <w:t>由三个合同段共同使用。</w:t>
      </w:r>
    </w:p>
    <w:p>
      <w:pPr>
        <w:adjustRightInd w:val="0"/>
        <w:snapToGrid w:val="0"/>
        <w:spacing w:line="300" w:lineRule="auto"/>
        <w:jc w:val="center"/>
        <w:rPr>
          <w:rFonts w:hint="eastAsia" w:ascii="宋体" w:hAnsi="宋体" w:cs="宋体"/>
          <w:b/>
          <w:sz w:val="28"/>
          <w:szCs w:val="28"/>
          <w:highlight w:val="none"/>
        </w:rPr>
      </w:pPr>
      <w:r>
        <w:rPr>
          <w:rFonts w:hint="eastAsia"/>
          <w:szCs w:val="21"/>
          <w:highlight w:val="none"/>
          <w:lang w:eastAsia="zh-CN"/>
        </w:rPr>
        <w:br w:type="page"/>
      </w:r>
      <w:r>
        <w:rPr>
          <w:rFonts w:hint="eastAsia" w:ascii="宋体" w:hAnsi="宋体" w:cs="宋体"/>
          <w:b/>
          <w:sz w:val="28"/>
          <w:szCs w:val="28"/>
          <w:highlight w:val="none"/>
        </w:rPr>
        <w:t>附录</w:t>
      </w:r>
      <w:r>
        <w:rPr>
          <w:rFonts w:hint="eastAsia" w:ascii="宋体" w:hAnsi="宋体" w:cs="宋体"/>
          <w:b/>
          <w:sz w:val="28"/>
          <w:szCs w:val="28"/>
          <w:highlight w:val="none"/>
          <w:lang w:val="en-US" w:eastAsia="zh-CN"/>
        </w:rPr>
        <w:t>6</w:t>
      </w:r>
      <w:r>
        <w:rPr>
          <w:rFonts w:hint="eastAsia" w:ascii="宋体" w:hAnsi="宋体" w:cs="宋体"/>
          <w:b/>
          <w:sz w:val="28"/>
          <w:szCs w:val="28"/>
          <w:highlight w:val="none"/>
        </w:rPr>
        <w:t xml:space="preserve">   资格审查条件(</w:t>
      </w:r>
      <w:r>
        <w:rPr>
          <w:rFonts w:hint="eastAsia" w:ascii="宋体" w:hAnsi="宋体" w:cs="宋体"/>
          <w:b/>
          <w:sz w:val="28"/>
          <w:szCs w:val="28"/>
          <w:highlight w:val="none"/>
          <w:lang w:eastAsia="zh-CN"/>
        </w:rPr>
        <w:t>其他管理人员和技术人员最低要求</w:t>
      </w:r>
      <w:r>
        <w:rPr>
          <w:rFonts w:hint="eastAsia" w:ascii="宋体" w:hAnsi="宋体" w:cs="宋体"/>
          <w:b/>
          <w:sz w:val="28"/>
          <w:szCs w:val="28"/>
          <w:highlight w:val="none"/>
        </w:rPr>
        <w:t>)</w:t>
      </w:r>
    </w:p>
    <w:tbl>
      <w:tblPr>
        <w:tblStyle w:val="5"/>
        <w:tblW w:w="8042" w:type="dxa"/>
        <w:jc w:val="center"/>
        <w:tblInd w:w="-7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6"/>
        <w:gridCol w:w="1515"/>
        <w:gridCol w:w="4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0" w:hRule="atLeast"/>
          <w:jc w:val="center"/>
        </w:trPr>
        <w:tc>
          <w:tcPr>
            <w:tcW w:w="1566" w:type="dxa"/>
            <w:vAlign w:val="center"/>
          </w:tcPr>
          <w:p>
            <w:pPr>
              <w:adjustRightInd w:val="0"/>
              <w:snapToGrid w:val="0"/>
              <w:spacing w:line="300" w:lineRule="auto"/>
              <w:jc w:val="center"/>
              <w:rPr>
                <w:rFonts w:hint="eastAsia" w:ascii="宋体" w:hAnsi="宋体" w:cs="宋体"/>
                <w:b/>
                <w:szCs w:val="21"/>
                <w:highlight w:val="none"/>
              </w:rPr>
            </w:pPr>
            <w:r>
              <w:rPr>
                <w:rFonts w:hint="eastAsia" w:ascii="宋体" w:hAnsi="宋体" w:cs="宋体"/>
                <w:b/>
                <w:szCs w:val="21"/>
                <w:highlight w:val="none"/>
              </w:rPr>
              <w:t>人   员</w:t>
            </w:r>
          </w:p>
        </w:tc>
        <w:tc>
          <w:tcPr>
            <w:tcW w:w="1515" w:type="dxa"/>
            <w:vAlign w:val="center"/>
          </w:tcPr>
          <w:p>
            <w:pPr>
              <w:adjustRightInd w:val="0"/>
              <w:snapToGrid w:val="0"/>
              <w:spacing w:line="300" w:lineRule="auto"/>
              <w:jc w:val="center"/>
              <w:rPr>
                <w:rFonts w:hint="eastAsia" w:ascii="宋体" w:hAnsi="宋体" w:cs="宋体"/>
                <w:b/>
                <w:szCs w:val="21"/>
                <w:highlight w:val="none"/>
              </w:rPr>
            </w:pPr>
            <w:r>
              <w:rPr>
                <w:rFonts w:hint="eastAsia" w:ascii="宋体" w:hAnsi="宋体" w:cs="宋体"/>
                <w:b/>
                <w:szCs w:val="21"/>
                <w:highlight w:val="none"/>
              </w:rPr>
              <w:t>数 量（人）</w:t>
            </w:r>
          </w:p>
        </w:tc>
        <w:tc>
          <w:tcPr>
            <w:tcW w:w="4961" w:type="dxa"/>
            <w:vAlign w:val="center"/>
          </w:tcPr>
          <w:p>
            <w:pPr>
              <w:adjustRightInd w:val="0"/>
              <w:snapToGrid w:val="0"/>
              <w:spacing w:line="300" w:lineRule="auto"/>
              <w:jc w:val="center"/>
              <w:rPr>
                <w:rFonts w:hint="eastAsia" w:ascii="宋体" w:hAnsi="宋体" w:eastAsia="宋体" w:cs="宋体"/>
                <w:b/>
                <w:szCs w:val="21"/>
                <w:highlight w:val="none"/>
                <w:lang w:eastAsia="zh-CN"/>
              </w:rPr>
            </w:pPr>
            <w:r>
              <w:rPr>
                <w:rFonts w:hint="eastAsia" w:ascii="宋体" w:hAnsi="宋体" w:cs="宋体"/>
                <w:b/>
                <w:szCs w:val="21"/>
                <w:highlight w:val="none"/>
                <w:lang w:eastAsia="zh-CN"/>
              </w:rPr>
              <w:t>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1566" w:type="dxa"/>
            <w:vAlign w:val="center"/>
          </w:tcPr>
          <w:p>
            <w:pPr>
              <w:spacing w:line="300" w:lineRule="auto"/>
              <w:jc w:val="center"/>
              <w:rPr>
                <w:rFonts w:hint="eastAsia" w:ascii="宋体" w:hAnsi="宋体" w:eastAsia="宋体" w:cs="宋体"/>
                <w:szCs w:val="21"/>
                <w:highlight w:val="none"/>
                <w:lang w:eastAsia="zh-CN"/>
              </w:rPr>
            </w:pPr>
            <w:r>
              <w:rPr>
                <w:rFonts w:hint="eastAsia" w:ascii="宋体" w:hAnsi="宋体" w:cs="宋体"/>
                <w:szCs w:val="21"/>
                <w:highlight w:val="none"/>
                <w:lang w:eastAsia="zh-CN"/>
              </w:rPr>
              <w:t>专职安全生产管理人员</w:t>
            </w:r>
          </w:p>
        </w:tc>
        <w:tc>
          <w:tcPr>
            <w:tcW w:w="1515" w:type="dxa"/>
            <w:vAlign w:val="center"/>
          </w:tcPr>
          <w:p>
            <w:pPr>
              <w:adjustRightInd w:val="0"/>
              <w:snapToGrid w:val="0"/>
              <w:spacing w:line="300" w:lineRule="auto"/>
              <w:jc w:val="center"/>
              <w:rPr>
                <w:rFonts w:hint="eastAsia" w:ascii="宋体" w:hAnsi="宋体" w:cs="宋体"/>
                <w:szCs w:val="21"/>
                <w:highlight w:val="none"/>
              </w:rPr>
            </w:pPr>
            <w:r>
              <w:rPr>
                <w:rFonts w:hint="eastAsia" w:ascii="宋体" w:hAnsi="宋体" w:cs="宋体"/>
                <w:szCs w:val="21"/>
                <w:highlight w:val="none"/>
              </w:rPr>
              <w:t>1</w:t>
            </w:r>
          </w:p>
        </w:tc>
        <w:tc>
          <w:tcPr>
            <w:tcW w:w="4961" w:type="dxa"/>
            <w:vAlign w:val="center"/>
          </w:tcPr>
          <w:p>
            <w:pPr>
              <w:spacing w:line="300" w:lineRule="auto"/>
              <w:jc w:val="center"/>
              <w:rPr>
                <w:rFonts w:hint="eastAsia" w:ascii="宋体" w:hAnsi="宋体" w:cs="宋体"/>
                <w:szCs w:val="21"/>
                <w:highlight w:val="none"/>
                <w:lang w:val="en-US" w:eastAsia="zh-CN"/>
              </w:rPr>
            </w:pPr>
            <w:r>
              <w:rPr>
                <w:rFonts w:hint="eastAsia" w:ascii="宋体" w:hAnsi="宋体" w:cs="宋体"/>
                <w:szCs w:val="21"/>
                <w:highlight w:val="none"/>
                <w:lang w:eastAsia="zh-CN"/>
              </w:rPr>
              <w:t>持有效安全生产“三类人员”C类证书，从事类似工程工作经验累计不少于</w:t>
            </w:r>
            <w:r>
              <w:rPr>
                <w:rFonts w:hint="eastAsia" w:ascii="宋体" w:hAnsi="宋体" w:cs="宋体"/>
                <w:szCs w:val="21"/>
                <w:highlight w:val="none"/>
                <w:lang w:val="en-US" w:eastAsia="zh-CN"/>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3" w:hRule="atLeast"/>
          <w:jc w:val="center"/>
        </w:trPr>
        <w:tc>
          <w:tcPr>
            <w:tcW w:w="1566" w:type="dxa"/>
            <w:vAlign w:val="center"/>
          </w:tcPr>
          <w:p>
            <w:pPr>
              <w:spacing w:line="300" w:lineRule="auto"/>
              <w:jc w:val="center"/>
              <w:rPr>
                <w:rFonts w:hint="eastAsia" w:ascii="宋体" w:hAnsi="宋体" w:eastAsia="宋体" w:cs="宋体"/>
                <w:szCs w:val="21"/>
                <w:highlight w:val="none"/>
                <w:lang w:eastAsia="zh-CN"/>
              </w:rPr>
            </w:pPr>
            <w:r>
              <w:rPr>
                <w:rFonts w:hint="eastAsia" w:ascii="宋体" w:hAnsi="宋体" w:cs="宋体"/>
                <w:szCs w:val="21"/>
                <w:highlight w:val="none"/>
                <w:lang w:eastAsia="zh-CN"/>
              </w:rPr>
              <w:t>施工员</w:t>
            </w:r>
          </w:p>
        </w:tc>
        <w:tc>
          <w:tcPr>
            <w:tcW w:w="1515" w:type="dxa"/>
            <w:vAlign w:val="center"/>
          </w:tcPr>
          <w:p>
            <w:pPr>
              <w:adjustRightInd w:val="0"/>
              <w:snapToGrid w:val="0"/>
              <w:spacing w:line="300" w:lineRule="auto"/>
              <w:jc w:val="center"/>
              <w:rPr>
                <w:rFonts w:hint="eastAsia" w:ascii="宋体" w:hAnsi="宋体" w:cs="宋体"/>
                <w:szCs w:val="21"/>
                <w:highlight w:val="none"/>
              </w:rPr>
            </w:pPr>
            <w:r>
              <w:rPr>
                <w:rFonts w:hint="eastAsia" w:ascii="宋体" w:hAnsi="宋体" w:cs="宋体"/>
                <w:szCs w:val="21"/>
                <w:highlight w:val="none"/>
              </w:rPr>
              <w:t>1</w:t>
            </w:r>
          </w:p>
        </w:tc>
        <w:tc>
          <w:tcPr>
            <w:tcW w:w="4961" w:type="dxa"/>
            <w:vAlign w:val="center"/>
          </w:tcPr>
          <w:p>
            <w:pPr>
              <w:spacing w:line="300" w:lineRule="auto"/>
              <w:jc w:val="center"/>
              <w:rPr>
                <w:rFonts w:hint="eastAsia" w:ascii="宋体" w:hAnsi="宋体" w:cs="宋体"/>
                <w:szCs w:val="21"/>
                <w:highlight w:val="none"/>
                <w:lang w:eastAsia="zh-CN"/>
              </w:rPr>
            </w:pPr>
            <w:r>
              <w:rPr>
                <w:rFonts w:hint="eastAsia" w:ascii="宋体" w:hAnsi="宋体" w:cs="宋体"/>
                <w:szCs w:val="21"/>
                <w:highlight w:val="none"/>
                <w:lang w:eastAsia="zh-CN"/>
              </w:rPr>
              <w:t>路桥助理工程师，从事类似工程累计不少于</w:t>
            </w:r>
            <w:r>
              <w:rPr>
                <w:rFonts w:hint="eastAsia" w:ascii="宋体" w:hAnsi="宋体" w:cs="宋体"/>
                <w:szCs w:val="21"/>
                <w:highlight w:val="none"/>
                <w:lang w:val="en-US" w:eastAsia="zh-CN"/>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3" w:hRule="atLeast"/>
          <w:jc w:val="center"/>
        </w:trPr>
        <w:tc>
          <w:tcPr>
            <w:tcW w:w="1566" w:type="dxa"/>
            <w:vAlign w:val="center"/>
          </w:tcPr>
          <w:p>
            <w:pPr>
              <w:spacing w:line="300" w:lineRule="auto"/>
              <w:jc w:val="center"/>
              <w:rPr>
                <w:rFonts w:hint="eastAsia" w:ascii="宋体" w:hAnsi="宋体" w:cs="宋体"/>
                <w:szCs w:val="21"/>
                <w:highlight w:val="none"/>
                <w:lang w:eastAsia="zh-CN"/>
              </w:rPr>
            </w:pPr>
            <w:r>
              <w:rPr>
                <w:rFonts w:hint="eastAsia" w:ascii="宋体" w:hAnsi="宋体" w:cs="宋体"/>
                <w:szCs w:val="21"/>
                <w:highlight w:val="none"/>
                <w:lang w:eastAsia="zh-CN"/>
              </w:rPr>
              <w:t>资料员</w:t>
            </w:r>
          </w:p>
        </w:tc>
        <w:tc>
          <w:tcPr>
            <w:tcW w:w="1515" w:type="dxa"/>
            <w:vAlign w:val="center"/>
          </w:tcPr>
          <w:p>
            <w:pPr>
              <w:adjustRightInd w:val="0"/>
              <w:snapToGrid w:val="0"/>
              <w:spacing w:line="300" w:lineRule="auto"/>
              <w:jc w:val="center"/>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1</w:t>
            </w:r>
          </w:p>
        </w:tc>
        <w:tc>
          <w:tcPr>
            <w:tcW w:w="4961" w:type="dxa"/>
            <w:vAlign w:val="center"/>
          </w:tcPr>
          <w:p>
            <w:pPr>
              <w:spacing w:line="300" w:lineRule="auto"/>
              <w:jc w:val="center"/>
              <w:rPr>
                <w:rFonts w:hint="eastAsia" w:ascii="宋体" w:hAnsi="宋体" w:cs="宋体"/>
                <w:szCs w:val="21"/>
                <w:highlight w:val="none"/>
                <w:lang w:eastAsia="zh-CN"/>
              </w:rPr>
            </w:pPr>
            <w:r>
              <w:rPr>
                <w:rFonts w:hint="eastAsia" w:ascii="宋体" w:hAnsi="宋体" w:cs="宋体"/>
                <w:szCs w:val="21"/>
                <w:highlight w:val="none"/>
                <w:lang w:eastAsia="zh-CN"/>
              </w:rPr>
              <w:t>累计至少3年相应岗位工作经验，熟悉工程档案及竣工文档编制工作。</w:t>
            </w:r>
          </w:p>
        </w:tc>
      </w:tr>
    </w:tbl>
    <w:p>
      <w:pPr>
        <w:adjustRightInd w:val="0"/>
        <w:snapToGrid w:val="0"/>
        <w:spacing w:line="360" w:lineRule="auto"/>
        <w:ind w:right="-141" w:rightChars="-67"/>
        <w:rPr>
          <w:rFonts w:hint="eastAsia" w:ascii="宋体" w:hAnsi="宋体" w:eastAsia="宋体" w:cs="宋体"/>
          <w:bCs/>
          <w:sz w:val="21"/>
          <w:szCs w:val="21"/>
          <w:highlight w:val="none"/>
        </w:rPr>
      </w:pPr>
    </w:p>
    <w:p>
      <w:pPr>
        <w:adjustRightInd w:val="0"/>
        <w:snapToGrid w:val="0"/>
        <w:spacing w:line="360" w:lineRule="auto"/>
        <w:ind w:right="-141" w:rightChars="-67"/>
        <w:rPr>
          <w:rFonts w:hint="eastAsia" w:ascii="宋体" w:hAnsi="宋体" w:eastAsia="宋体" w:cs="宋体"/>
          <w:bCs/>
          <w:sz w:val="21"/>
          <w:szCs w:val="21"/>
          <w:highlight w:val="none"/>
          <w:lang w:eastAsia="zh-CN"/>
        </w:rPr>
      </w:pPr>
      <w:r>
        <w:rPr>
          <w:rFonts w:hint="eastAsia" w:ascii="宋体" w:hAnsi="宋体" w:eastAsia="宋体" w:cs="宋体"/>
          <w:bCs/>
          <w:sz w:val="21"/>
          <w:szCs w:val="21"/>
          <w:highlight w:val="none"/>
        </w:rPr>
        <w:t>备注：</w:t>
      </w:r>
      <w:r>
        <w:rPr>
          <w:rFonts w:hint="eastAsia" w:ascii="宋体" w:hAnsi="宋体" w:eastAsia="宋体" w:cs="宋体"/>
          <w:bCs/>
          <w:sz w:val="21"/>
          <w:szCs w:val="21"/>
          <w:highlight w:val="none"/>
          <w:lang w:val="en-US" w:eastAsia="zh-CN"/>
        </w:rPr>
        <w:t>1.投标人对上表所要求的人员不需提供具体资料，只须按第九章投标文件格式“一、投标函及投标函附录”规定填写。中标人在签订合同后按上表要求向招标人提供实际投入的人员名单资料。</w:t>
      </w:r>
    </w:p>
    <w:p>
      <w:pPr>
        <w:adjustRightInd w:val="0"/>
        <w:snapToGrid w:val="0"/>
        <w:spacing w:line="360" w:lineRule="auto"/>
        <w:ind w:right="-141" w:rightChars="-67" w:firstLine="630" w:firstLineChars="300"/>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2.上表所列人员为每一个合同段的最低要求，投标人应按不低于上表的要求，为每个合同段配备主要人员，且不可重复使用相同人员，但不因此增加费用。</w:t>
      </w:r>
    </w:p>
    <w:p>
      <w:pPr>
        <w:adjustRightInd w:val="0"/>
        <w:snapToGrid w:val="0"/>
        <w:spacing w:line="360" w:lineRule="auto"/>
        <w:ind w:right="-141" w:rightChars="-67" w:firstLine="630" w:firstLineChars="300"/>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3.</w:t>
      </w:r>
      <w:r>
        <w:rPr>
          <w:rFonts w:hint="eastAsia" w:ascii="宋体" w:hAnsi="宋体" w:eastAsia="宋体" w:cs="宋体"/>
          <w:bCs/>
          <w:sz w:val="21"/>
          <w:szCs w:val="21"/>
          <w:highlight w:val="none"/>
        </w:rPr>
        <w:t>上表中的类似工程指</w:t>
      </w:r>
      <w:r>
        <w:rPr>
          <w:rFonts w:hint="eastAsia" w:ascii="宋体" w:hAnsi="宋体" w:eastAsia="宋体" w:cs="宋体"/>
          <w:bCs/>
          <w:sz w:val="21"/>
          <w:szCs w:val="21"/>
          <w:highlight w:val="none"/>
          <w:lang w:eastAsia="zh-CN"/>
        </w:rPr>
        <w:t>高速公路桥梁加固大中修工程或</w:t>
      </w:r>
      <w:r>
        <w:rPr>
          <w:rFonts w:hint="eastAsia" w:ascii="宋体" w:hAnsi="宋体" w:eastAsia="宋体" w:cs="宋体"/>
          <w:highlight w:val="none"/>
          <w:lang w:eastAsia="zh-CN"/>
        </w:rPr>
        <w:t>高速公路交通安全设施大中修工程</w:t>
      </w:r>
      <w:r>
        <w:rPr>
          <w:rFonts w:hint="eastAsia" w:ascii="宋体" w:hAnsi="宋体" w:eastAsia="宋体" w:cs="宋体"/>
          <w:bCs/>
          <w:sz w:val="21"/>
          <w:szCs w:val="21"/>
          <w:highlight w:val="none"/>
          <w:lang w:eastAsia="zh-CN"/>
        </w:rPr>
        <w:t>。</w:t>
      </w:r>
    </w:p>
    <w:p>
      <w:pPr>
        <w:spacing w:line="480" w:lineRule="auto"/>
        <w:ind w:hanging="416"/>
        <w:rPr>
          <w:rFonts w:hint="eastAsia" w:ascii="宋体" w:hAnsi="宋体" w:cs="宋体"/>
          <w:szCs w:val="21"/>
          <w:highlight w:val="none"/>
        </w:rPr>
      </w:pPr>
      <w:r>
        <w:rPr>
          <w:rFonts w:hint="eastAsia" w:ascii="宋体" w:hAnsi="宋体" w:cs="宋体"/>
          <w:szCs w:val="21"/>
          <w:highlight w:val="none"/>
        </w:rPr>
        <w:t xml:space="preserve">         </w:t>
      </w:r>
    </w:p>
    <w:p>
      <w:pPr>
        <w:adjustRightInd w:val="0"/>
        <w:snapToGrid w:val="0"/>
        <w:spacing w:line="300" w:lineRule="auto"/>
        <w:jc w:val="center"/>
        <w:rPr>
          <w:rFonts w:hint="eastAsia" w:ascii="宋体" w:hAnsi="宋体" w:cs="宋体"/>
          <w:szCs w:val="21"/>
          <w:highlight w:val="none"/>
        </w:rPr>
      </w:pPr>
    </w:p>
    <w:p>
      <w:pPr>
        <w:adjustRightInd w:val="0"/>
        <w:snapToGrid w:val="0"/>
        <w:spacing w:line="300" w:lineRule="auto"/>
        <w:jc w:val="center"/>
        <w:rPr>
          <w:rFonts w:hint="eastAsia" w:ascii="宋体" w:hAnsi="宋体" w:cs="宋体"/>
          <w:b/>
          <w:sz w:val="28"/>
          <w:szCs w:val="28"/>
          <w:highlight w:val="none"/>
        </w:rPr>
      </w:pPr>
      <w:r>
        <w:rPr>
          <w:rFonts w:hint="eastAsia" w:ascii="宋体" w:hAnsi="宋体" w:cs="宋体"/>
          <w:szCs w:val="21"/>
          <w:highlight w:val="none"/>
        </w:rPr>
        <w:br w:type="page"/>
      </w:r>
      <w:r>
        <w:rPr>
          <w:rFonts w:hint="eastAsia" w:ascii="宋体" w:hAnsi="宋体" w:cs="宋体"/>
          <w:b/>
          <w:sz w:val="28"/>
          <w:szCs w:val="28"/>
          <w:highlight w:val="none"/>
        </w:rPr>
        <w:t>附录</w:t>
      </w:r>
      <w:r>
        <w:rPr>
          <w:rFonts w:hint="eastAsia" w:ascii="宋体" w:hAnsi="宋体" w:cs="宋体"/>
          <w:b/>
          <w:sz w:val="28"/>
          <w:szCs w:val="28"/>
          <w:highlight w:val="none"/>
          <w:lang w:val="en-US" w:eastAsia="zh-CN"/>
        </w:rPr>
        <w:t>7</w:t>
      </w:r>
      <w:r>
        <w:rPr>
          <w:rFonts w:hint="eastAsia" w:ascii="宋体" w:hAnsi="宋体" w:cs="宋体"/>
          <w:b/>
          <w:sz w:val="28"/>
          <w:szCs w:val="28"/>
          <w:highlight w:val="none"/>
        </w:rPr>
        <w:t xml:space="preserve">   资格审查条件(</w:t>
      </w:r>
      <w:r>
        <w:rPr>
          <w:rFonts w:hint="eastAsia" w:ascii="宋体" w:hAnsi="宋体" w:cs="宋体"/>
          <w:b/>
          <w:sz w:val="28"/>
          <w:szCs w:val="28"/>
          <w:highlight w:val="none"/>
          <w:lang w:eastAsia="zh-CN"/>
        </w:rPr>
        <w:t>主要设备最低要求</w:t>
      </w:r>
      <w:r>
        <w:rPr>
          <w:rFonts w:hint="eastAsia" w:ascii="宋体" w:hAnsi="宋体" w:cs="宋体"/>
          <w:b/>
          <w:sz w:val="28"/>
          <w:szCs w:val="28"/>
          <w:highlight w:val="none"/>
        </w:rPr>
        <w:t>)</w:t>
      </w:r>
    </w:p>
    <w:tbl>
      <w:tblPr>
        <w:tblStyle w:val="5"/>
        <w:tblW w:w="8765" w:type="dxa"/>
        <w:jc w:val="center"/>
        <w:tblInd w:w="-7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2"/>
        <w:gridCol w:w="2610"/>
        <w:gridCol w:w="1785"/>
        <w:gridCol w:w="2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0" w:hRule="atLeast"/>
          <w:jc w:val="center"/>
        </w:trPr>
        <w:tc>
          <w:tcPr>
            <w:tcW w:w="2272" w:type="dxa"/>
            <w:vAlign w:val="center"/>
          </w:tcPr>
          <w:p>
            <w:pPr>
              <w:adjustRightInd w:val="0"/>
              <w:snapToGrid w:val="0"/>
              <w:spacing w:line="300" w:lineRule="auto"/>
              <w:jc w:val="center"/>
              <w:rPr>
                <w:rFonts w:hint="eastAsia" w:ascii="宋体" w:hAnsi="宋体" w:eastAsia="宋体" w:cs="宋体"/>
                <w:b/>
                <w:szCs w:val="21"/>
                <w:highlight w:val="none"/>
                <w:lang w:eastAsia="zh-CN"/>
              </w:rPr>
            </w:pPr>
            <w:r>
              <w:rPr>
                <w:rFonts w:hint="eastAsia" w:ascii="宋体" w:hAnsi="宋体" w:cs="宋体"/>
                <w:b/>
                <w:szCs w:val="21"/>
                <w:highlight w:val="none"/>
                <w:lang w:eastAsia="zh-CN"/>
              </w:rPr>
              <w:t>设备名称</w:t>
            </w:r>
          </w:p>
        </w:tc>
        <w:tc>
          <w:tcPr>
            <w:tcW w:w="2610" w:type="dxa"/>
            <w:vAlign w:val="center"/>
          </w:tcPr>
          <w:p>
            <w:pPr>
              <w:adjustRightInd w:val="0"/>
              <w:snapToGrid w:val="0"/>
              <w:spacing w:line="300" w:lineRule="auto"/>
              <w:jc w:val="center"/>
              <w:rPr>
                <w:rFonts w:hint="eastAsia" w:ascii="宋体" w:hAnsi="宋体" w:eastAsia="宋体" w:cs="宋体"/>
                <w:b/>
                <w:szCs w:val="21"/>
                <w:highlight w:val="none"/>
                <w:lang w:eastAsia="zh-CN"/>
              </w:rPr>
            </w:pPr>
            <w:r>
              <w:rPr>
                <w:rFonts w:hint="eastAsia" w:ascii="宋体" w:hAnsi="宋体" w:cs="宋体"/>
                <w:b/>
                <w:szCs w:val="21"/>
                <w:highlight w:val="none"/>
                <w:lang w:eastAsia="zh-CN"/>
              </w:rPr>
              <w:t>规格、功率计容量</w:t>
            </w:r>
          </w:p>
        </w:tc>
        <w:tc>
          <w:tcPr>
            <w:tcW w:w="1785" w:type="dxa"/>
            <w:vAlign w:val="center"/>
          </w:tcPr>
          <w:p>
            <w:pPr>
              <w:adjustRightInd w:val="0"/>
              <w:snapToGrid w:val="0"/>
              <w:spacing w:line="300" w:lineRule="auto"/>
              <w:jc w:val="center"/>
              <w:rPr>
                <w:rFonts w:hint="eastAsia" w:ascii="宋体" w:hAnsi="宋体" w:eastAsia="宋体" w:cs="宋体"/>
                <w:b/>
                <w:szCs w:val="21"/>
                <w:highlight w:val="none"/>
                <w:lang w:eastAsia="zh-CN"/>
              </w:rPr>
            </w:pPr>
            <w:r>
              <w:rPr>
                <w:rFonts w:hint="eastAsia" w:ascii="宋体" w:hAnsi="宋体" w:eastAsia="宋体" w:cs="宋体"/>
                <w:b/>
                <w:szCs w:val="21"/>
                <w:highlight w:val="none"/>
                <w:lang w:eastAsia="zh-CN"/>
              </w:rPr>
              <w:t>单位</w:t>
            </w:r>
          </w:p>
        </w:tc>
        <w:tc>
          <w:tcPr>
            <w:tcW w:w="2098" w:type="dxa"/>
            <w:vAlign w:val="center"/>
          </w:tcPr>
          <w:p>
            <w:pPr>
              <w:adjustRightInd w:val="0"/>
              <w:snapToGrid w:val="0"/>
              <w:spacing w:line="300" w:lineRule="auto"/>
              <w:jc w:val="center"/>
              <w:rPr>
                <w:rFonts w:hint="eastAsia" w:ascii="宋体" w:hAnsi="宋体" w:eastAsia="宋体" w:cs="宋体"/>
                <w:b/>
                <w:szCs w:val="21"/>
                <w:highlight w:val="none"/>
                <w:lang w:eastAsia="zh-CN"/>
              </w:rPr>
            </w:pPr>
            <w:r>
              <w:rPr>
                <w:rFonts w:hint="eastAsia" w:ascii="宋体" w:hAnsi="宋体" w:eastAsia="宋体" w:cs="宋体"/>
                <w:b/>
                <w:szCs w:val="21"/>
                <w:highlight w:val="none"/>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272" w:type="dxa"/>
            <w:vAlign w:val="center"/>
          </w:tcPr>
          <w:p>
            <w:pPr>
              <w:spacing w:line="300" w:lineRule="auto"/>
              <w:jc w:val="center"/>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高压水枪</w:t>
            </w:r>
          </w:p>
        </w:tc>
        <w:tc>
          <w:tcPr>
            <w:tcW w:w="2610" w:type="dxa"/>
            <w:vAlign w:val="center"/>
          </w:tcPr>
          <w:p>
            <w:pPr>
              <w:adjustRightInd w:val="0"/>
              <w:snapToGrid w:val="0"/>
              <w:spacing w:line="300" w:lineRule="auto"/>
              <w:jc w:val="center"/>
              <w:rPr>
                <w:rFonts w:hint="eastAsia" w:ascii="宋体" w:hAnsi="宋体" w:cs="宋体"/>
                <w:szCs w:val="21"/>
                <w:highlight w:val="none"/>
              </w:rPr>
            </w:pPr>
          </w:p>
        </w:tc>
        <w:tc>
          <w:tcPr>
            <w:tcW w:w="1785" w:type="dxa"/>
            <w:vAlign w:val="center"/>
          </w:tcPr>
          <w:p>
            <w:pPr>
              <w:spacing w:line="300" w:lineRule="auto"/>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套</w:t>
            </w:r>
          </w:p>
        </w:tc>
        <w:tc>
          <w:tcPr>
            <w:tcW w:w="2098" w:type="dxa"/>
            <w:vAlign w:val="center"/>
          </w:tcPr>
          <w:p>
            <w:pPr>
              <w:spacing w:line="300" w:lineRule="auto"/>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3" w:hRule="atLeast"/>
          <w:jc w:val="center"/>
        </w:trPr>
        <w:tc>
          <w:tcPr>
            <w:tcW w:w="2272" w:type="dxa"/>
            <w:vAlign w:val="center"/>
          </w:tcPr>
          <w:p>
            <w:pPr>
              <w:spacing w:line="300" w:lineRule="auto"/>
              <w:jc w:val="center"/>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电动混凝土打磨机</w:t>
            </w:r>
          </w:p>
        </w:tc>
        <w:tc>
          <w:tcPr>
            <w:tcW w:w="2610" w:type="dxa"/>
            <w:vAlign w:val="center"/>
          </w:tcPr>
          <w:p>
            <w:pPr>
              <w:adjustRightInd w:val="0"/>
              <w:snapToGrid w:val="0"/>
              <w:spacing w:line="300" w:lineRule="auto"/>
              <w:jc w:val="center"/>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3.0Kw</w:t>
            </w:r>
          </w:p>
        </w:tc>
        <w:tc>
          <w:tcPr>
            <w:tcW w:w="1785" w:type="dxa"/>
            <w:vAlign w:val="center"/>
          </w:tcPr>
          <w:p>
            <w:pPr>
              <w:spacing w:line="300" w:lineRule="auto"/>
              <w:jc w:val="center"/>
              <w:rPr>
                <w:rFonts w:hint="eastAsia" w:ascii="宋体" w:hAnsi="宋体" w:cs="宋体"/>
                <w:szCs w:val="21"/>
                <w:highlight w:val="none"/>
                <w:lang w:eastAsia="zh-CN"/>
              </w:rPr>
            </w:pPr>
            <w:r>
              <w:rPr>
                <w:rFonts w:hint="eastAsia" w:ascii="宋体" w:hAnsi="宋体" w:cs="宋体"/>
                <w:szCs w:val="21"/>
                <w:highlight w:val="none"/>
                <w:lang w:eastAsia="zh-CN"/>
              </w:rPr>
              <w:t>套</w:t>
            </w:r>
          </w:p>
        </w:tc>
        <w:tc>
          <w:tcPr>
            <w:tcW w:w="2098" w:type="dxa"/>
            <w:vAlign w:val="center"/>
          </w:tcPr>
          <w:p>
            <w:pPr>
              <w:spacing w:line="300" w:lineRule="auto"/>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3" w:hRule="atLeast"/>
          <w:jc w:val="center"/>
        </w:trPr>
        <w:tc>
          <w:tcPr>
            <w:tcW w:w="2272" w:type="dxa"/>
            <w:vAlign w:val="center"/>
          </w:tcPr>
          <w:p>
            <w:pPr>
              <w:spacing w:line="300" w:lineRule="auto"/>
              <w:jc w:val="center"/>
              <w:rPr>
                <w:rFonts w:hint="eastAsia" w:ascii="宋体" w:hAnsi="宋体" w:cs="宋体"/>
                <w:szCs w:val="21"/>
                <w:highlight w:val="none"/>
                <w:lang w:eastAsia="zh-CN"/>
              </w:rPr>
            </w:pPr>
            <w:r>
              <w:rPr>
                <w:rFonts w:hint="eastAsia" w:ascii="宋体" w:hAnsi="宋体" w:cs="宋体"/>
                <w:szCs w:val="21"/>
                <w:highlight w:val="none"/>
                <w:lang w:eastAsia="zh-CN"/>
              </w:rPr>
              <w:t>发电机</w:t>
            </w:r>
          </w:p>
        </w:tc>
        <w:tc>
          <w:tcPr>
            <w:tcW w:w="2610" w:type="dxa"/>
            <w:vAlign w:val="center"/>
          </w:tcPr>
          <w:p>
            <w:pPr>
              <w:adjustRightInd w:val="0"/>
              <w:snapToGrid w:val="0"/>
              <w:spacing w:line="300" w:lineRule="auto"/>
              <w:jc w:val="center"/>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100～150Kw</w:t>
            </w:r>
          </w:p>
        </w:tc>
        <w:tc>
          <w:tcPr>
            <w:tcW w:w="1785" w:type="dxa"/>
            <w:vAlign w:val="center"/>
          </w:tcPr>
          <w:p>
            <w:pPr>
              <w:spacing w:line="300" w:lineRule="auto"/>
              <w:jc w:val="center"/>
              <w:rPr>
                <w:rFonts w:hint="eastAsia" w:ascii="宋体" w:hAnsi="宋体" w:cs="宋体"/>
                <w:szCs w:val="21"/>
                <w:highlight w:val="none"/>
                <w:lang w:eastAsia="zh-CN"/>
              </w:rPr>
            </w:pPr>
            <w:r>
              <w:rPr>
                <w:rFonts w:hint="eastAsia" w:ascii="宋体" w:hAnsi="宋体" w:cs="宋体"/>
                <w:szCs w:val="21"/>
                <w:highlight w:val="none"/>
                <w:lang w:eastAsia="zh-CN"/>
              </w:rPr>
              <w:t>套</w:t>
            </w:r>
          </w:p>
        </w:tc>
        <w:tc>
          <w:tcPr>
            <w:tcW w:w="2098" w:type="dxa"/>
            <w:vAlign w:val="center"/>
          </w:tcPr>
          <w:p>
            <w:pPr>
              <w:spacing w:line="300" w:lineRule="auto"/>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3" w:hRule="atLeast"/>
          <w:jc w:val="center"/>
        </w:trPr>
        <w:tc>
          <w:tcPr>
            <w:tcW w:w="2272" w:type="dxa"/>
            <w:vAlign w:val="center"/>
          </w:tcPr>
          <w:p>
            <w:pPr>
              <w:spacing w:line="300" w:lineRule="auto"/>
              <w:jc w:val="center"/>
              <w:rPr>
                <w:rFonts w:hint="eastAsia" w:ascii="宋体" w:hAnsi="宋体" w:cs="宋体"/>
                <w:szCs w:val="21"/>
                <w:highlight w:val="none"/>
                <w:lang w:eastAsia="zh-CN"/>
              </w:rPr>
            </w:pPr>
            <w:r>
              <w:rPr>
                <w:rFonts w:hint="eastAsia" w:ascii="宋体" w:hAnsi="宋体" w:cs="宋体"/>
                <w:szCs w:val="21"/>
                <w:highlight w:val="none"/>
                <w:lang w:eastAsia="zh-CN"/>
              </w:rPr>
              <w:t>工程用车</w:t>
            </w:r>
          </w:p>
        </w:tc>
        <w:tc>
          <w:tcPr>
            <w:tcW w:w="2610" w:type="dxa"/>
            <w:vAlign w:val="center"/>
          </w:tcPr>
          <w:p>
            <w:pPr>
              <w:adjustRightInd w:val="0"/>
              <w:snapToGrid w:val="0"/>
              <w:spacing w:line="300" w:lineRule="auto"/>
              <w:jc w:val="center"/>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4t</w:t>
            </w:r>
          </w:p>
        </w:tc>
        <w:tc>
          <w:tcPr>
            <w:tcW w:w="1785" w:type="dxa"/>
            <w:vAlign w:val="center"/>
          </w:tcPr>
          <w:p>
            <w:pPr>
              <w:spacing w:line="300" w:lineRule="auto"/>
              <w:jc w:val="center"/>
              <w:rPr>
                <w:rFonts w:hint="eastAsia" w:ascii="宋体" w:hAnsi="宋体" w:cs="宋体"/>
                <w:szCs w:val="21"/>
                <w:highlight w:val="none"/>
                <w:lang w:eastAsia="zh-CN"/>
              </w:rPr>
            </w:pPr>
            <w:r>
              <w:rPr>
                <w:rFonts w:hint="eastAsia" w:ascii="宋体" w:hAnsi="宋体" w:cs="宋体"/>
                <w:szCs w:val="21"/>
                <w:highlight w:val="none"/>
                <w:lang w:eastAsia="zh-CN"/>
              </w:rPr>
              <w:t>台</w:t>
            </w:r>
          </w:p>
        </w:tc>
        <w:tc>
          <w:tcPr>
            <w:tcW w:w="2098" w:type="dxa"/>
            <w:vAlign w:val="center"/>
          </w:tcPr>
          <w:p>
            <w:pPr>
              <w:spacing w:line="300" w:lineRule="auto"/>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3" w:hRule="atLeast"/>
          <w:jc w:val="center"/>
        </w:trPr>
        <w:tc>
          <w:tcPr>
            <w:tcW w:w="2272" w:type="dxa"/>
            <w:vAlign w:val="center"/>
          </w:tcPr>
          <w:p>
            <w:pPr>
              <w:spacing w:line="300" w:lineRule="auto"/>
              <w:jc w:val="center"/>
              <w:rPr>
                <w:rFonts w:hint="eastAsia" w:ascii="宋体" w:hAnsi="宋体" w:cs="宋体"/>
                <w:szCs w:val="21"/>
                <w:highlight w:val="none"/>
                <w:lang w:eastAsia="zh-CN"/>
              </w:rPr>
            </w:pPr>
            <w:r>
              <w:rPr>
                <w:rFonts w:hint="eastAsia" w:ascii="宋体" w:hAnsi="宋体" w:cs="宋体"/>
                <w:szCs w:val="21"/>
                <w:highlight w:val="none"/>
                <w:lang w:eastAsia="zh-CN"/>
              </w:rPr>
              <w:t>手持电动冲击钻</w:t>
            </w:r>
          </w:p>
        </w:tc>
        <w:tc>
          <w:tcPr>
            <w:tcW w:w="2610" w:type="dxa"/>
            <w:vAlign w:val="center"/>
          </w:tcPr>
          <w:p>
            <w:pPr>
              <w:adjustRightInd w:val="0"/>
              <w:snapToGrid w:val="0"/>
              <w:spacing w:line="300" w:lineRule="auto"/>
              <w:jc w:val="center"/>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3.0Kw以上</w:t>
            </w:r>
          </w:p>
        </w:tc>
        <w:tc>
          <w:tcPr>
            <w:tcW w:w="1785" w:type="dxa"/>
            <w:vAlign w:val="center"/>
          </w:tcPr>
          <w:p>
            <w:pPr>
              <w:spacing w:line="300" w:lineRule="auto"/>
              <w:jc w:val="center"/>
              <w:rPr>
                <w:rFonts w:hint="eastAsia" w:ascii="宋体" w:hAnsi="宋体" w:cs="宋体"/>
                <w:szCs w:val="21"/>
                <w:highlight w:val="none"/>
                <w:lang w:eastAsia="zh-CN"/>
              </w:rPr>
            </w:pPr>
            <w:r>
              <w:rPr>
                <w:rFonts w:hint="eastAsia" w:ascii="宋体" w:hAnsi="宋体" w:cs="宋体"/>
                <w:szCs w:val="21"/>
                <w:highlight w:val="none"/>
                <w:lang w:eastAsia="zh-CN"/>
              </w:rPr>
              <w:t>台</w:t>
            </w:r>
          </w:p>
        </w:tc>
        <w:tc>
          <w:tcPr>
            <w:tcW w:w="2098" w:type="dxa"/>
            <w:vAlign w:val="center"/>
          </w:tcPr>
          <w:p>
            <w:pPr>
              <w:spacing w:line="300" w:lineRule="auto"/>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1</w:t>
            </w:r>
          </w:p>
        </w:tc>
      </w:tr>
    </w:tbl>
    <w:p>
      <w:pPr>
        <w:adjustRightInd w:val="0"/>
        <w:snapToGrid w:val="0"/>
        <w:spacing w:line="360" w:lineRule="auto"/>
        <w:jc w:val="left"/>
        <w:rPr>
          <w:rFonts w:hint="eastAsia" w:ascii="宋体" w:hAnsi="宋体" w:cs="宋体"/>
          <w:szCs w:val="21"/>
          <w:highlight w:val="none"/>
          <w:lang w:eastAsia="zh-CN"/>
        </w:rPr>
      </w:pPr>
    </w:p>
    <w:p>
      <w:pPr>
        <w:adjustRightInd w:val="0"/>
        <w:snapToGrid w:val="0"/>
        <w:spacing w:line="360" w:lineRule="auto"/>
        <w:jc w:val="left"/>
        <w:rPr>
          <w:rFonts w:hint="eastAsia" w:ascii="宋体" w:hAnsi="宋体" w:eastAsia="宋体" w:cs="宋体"/>
          <w:bCs/>
          <w:sz w:val="21"/>
          <w:szCs w:val="21"/>
          <w:highlight w:val="none"/>
          <w:lang w:val="en-US" w:eastAsia="zh-CN"/>
        </w:rPr>
      </w:pPr>
      <w:r>
        <w:rPr>
          <w:rFonts w:hint="eastAsia" w:ascii="宋体" w:hAnsi="宋体" w:cs="宋体"/>
          <w:szCs w:val="21"/>
          <w:highlight w:val="none"/>
          <w:lang w:eastAsia="zh-CN"/>
        </w:rPr>
        <w:t>备注：</w:t>
      </w:r>
      <w:r>
        <w:rPr>
          <w:rFonts w:hint="eastAsia" w:ascii="宋体" w:hAnsi="宋体" w:eastAsia="宋体" w:cs="宋体"/>
          <w:bCs/>
          <w:sz w:val="21"/>
          <w:szCs w:val="21"/>
          <w:highlight w:val="none"/>
          <w:lang w:val="en-US" w:eastAsia="zh-CN"/>
        </w:rPr>
        <w:t>1.投标人对上表所要求的机械设备不需提供具体资料，只须按第九章投标文件格式“一、投标函及投标函附录”规定填写。中标人在签订合同后按上表要求向招标人提供实际投入的机械设备清单。</w:t>
      </w:r>
    </w:p>
    <w:p>
      <w:pPr>
        <w:adjustRightInd w:val="0"/>
        <w:snapToGrid w:val="0"/>
        <w:spacing w:line="360" w:lineRule="auto"/>
        <w:ind w:right="-141" w:rightChars="-67" w:firstLine="630" w:firstLineChars="300"/>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2.上表所列设备为每一个合同段的最低要求，投标人应按不低于上表的要求，为每个合同段配备机械设备，但不因此增加费用。</w:t>
      </w:r>
    </w:p>
    <w:p>
      <w:pPr>
        <w:adjustRightInd w:val="0"/>
        <w:snapToGrid w:val="0"/>
        <w:spacing w:line="300" w:lineRule="auto"/>
        <w:jc w:val="left"/>
        <w:rPr>
          <w:rFonts w:hint="eastAsia" w:ascii="宋体" w:hAnsi="宋体" w:eastAsia="宋体" w:cs="宋体"/>
          <w:bCs/>
          <w:sz w:val="21"/>
          <w:szCs w:val="21"/>
          <w:highlight w:val="none"/>
          <w:lang w:val="en-US" w:eastAsia="zh-CN"/>
        </w:rPr>
      </w:pPr>
    </w:p>
    <w:p>
      <w:pPr>
        <w:adjustRightInd w:val="0"/>
        <w:snapToGrid w:val="0"/>
        <w:spacing w:line="300" w:lineRule="auto"/>
        <w:jc w:val="left"/>
        <w:rPr>
          <w:rFonts w:hint="eastAsia" w:ascii="宋体" w:hAnsi="宋体" w:cs="宋体"/>
          <w:szCs w:val="21"/>
          <w:highlight w:val="none"/>
        </w:rPr>
      </w:pPr>
      <w:r>
        <w:rPr>
          <w:rFonts w:hint="eastAsia" w:ascii="宋体" w:hAnsi="宋体" w:cs="宋体"/>
          <w:szCs w:val="21"/>
          <w:highlight w:val="none"/>
        </w:rPr>
        <w:br w:type="page"/>
      </w:r>
    </w:p>
    <w:p>
      <w:pPr>
        <w:spacing w:line="440" w:lineRule="exact"/>
        <w:ind w:firstLine="560" w:firstLineChars="200"/>
        <w:rPr>
          <w:rFonts w:hint="eastAsia" w:ascii="宋体" w:hAnsi="宋体" w:cs="宋体"/>
          <w:b/>
          <w:bCs/>
          <w:sz w:val="30"/>
          <w:szCs w:val="30"/>
          <w:highlight w:val="none"/>
          <w:lang w:val="en-US" w:eastAsia="zh-CN"/>
        </w:rPr>
      </w:pPr>
      <w:bookmarkStart w:id="0" w:name="_Toc255931463"/>
      <w:bookmarkStart w:id="1" w:name="_Toc222740121"/>
      <w:r>
        <w:rPr>
          <w:rFonts w:hint="eastAsia" w:ascii="宋体" w:hAnsi="宋体" w:cs="宋体"/>
          <w:sz w:val="28"/>
          <w:szCs w:val="28"/>
          <w:highlight w:val="none"/>
        </w:rPr>
        <w:t>附件2</w:t>
      </w:r>
      <w:r>
        <w:rPr>
          <w:rFonts w:hint="eastAsia" w:ascii="宋体" w:hAnsi="宋体" w:cs="宋体"/>
          <w:b/>
          <w:bCs/>
          <w:sz w:val="30"/>
          <w:szCs w:val="30"/>
          <w:highlight w:val="none"/>
        </w:rPr>
        <w:t xml:space="preserve"> </w:t>
      </w:r>
      <w:r>
        <w:rPr>
          <w:rFonts w:hint="eastAsia" w:ascii="宋体" w:hAnsi="宋体" w:cs="宋体"/>
          <w:b/>
          <w:bCs/>
          <w:sz w:val="30"/>
          <w:szCs w:val="30"/>
          <w:highlight w:val="none"/>
          <w:lang w:val="en-US" w:eastAsia="zh-CN"/>
        </w:rPr>
        <w:t xml:space="preserve">    </w:t>
      </w:r>
    </w:p>
    <w:p>
      <w:pPr>
        <w:spacing w:line="440" w:lineRule="exact"/>
        <w:ind w:firstLine="600" w:firstLineChars="200"/>
        <w:jc w:val="center"/>
        <w:rPr>
          <w:rFonts w:hint="eastAsia" w:ascii="宋体" w:hAnsi="宋体" w:cs="宋体"/>
          <w:b w:val="0"/>
          <w:bCs w:val="0"/>
          <w:sz w:val="30"/>
          <w:szCs w:val="30"/>
          <w:highlight w:val="none"/>
          <w:lang w:val="en-US" w:eastAsia="zh-CN"/>
        </w:rPr>
      </w:pPr>
      <w:r>
        <w:rPr>
          <w:rFonts w:hint="eastAsia" w:ascii="宋体" w:hAnsi="宋体" w:cs="宋体"/>
          <w:b w:val="0"/>
          <w:bCs w:val="0"/>
          <w:sz w:val="30"/>
          <w:szCs w:val="30"/>
          <w:highlight w:val="none"/>
          <w:lang w:val="en-US" w:eastAsia="zh-CN"/>
        </w:rPr>
        <w:t>项目概况</w:t>
      </w:r>
    </w:p>
    <w:p>
      <w:pPr>
        <w:numPr>
          <w:ilvl w:val="0"/>
          <w:numId w:val="6"/>
        </w:numPr>
        <w:spacing w:line="440" w:lineRule="exact"/>
        <w:ind w:firstLine="480" w:firstLineChars="200"/>
        <w:jc w:val="both"/>
        <w:rPr>
          <w:rFonts w:hint="eastAsia" w:ascii="宋体" w:hAnsi="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标段划分</w:t>
      </w:r>
    </w:p>
    <w:tbl>
      <w:tblPr>
        <w:tblStyle w:val="5"/>
        <w:tblW w:w="92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1800"/>
        <w:gridCol w:w="2535"/>
        <w:gridCol w:w="1875"/>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5" w:type="dxa"/>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标段</w:t>
            </w:r>
          </w:p>
        </w:tc>
        <w:tc>
          <w:tcPr>
            <w:tcW w:w="1800" w:type="dxa"/>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合同段</w:t>
            </w:r>
          </w:p>
        </w:tc>
        <w:tc>
          <w:tcPr>
            <w:tcW w:w="2535" w:type="dxa"/>
            <w:vAlign w:val="center"/>
          </w:tcPr>
          <w:p>
            <w:pPr>
              <w:numPr>
                <w:ilvl w:val="0"/>
                <w:numId w:val="0"/>
              </w:numPr>
              <w:spacing w:line="440" w:lineRule="exact"/>
              <w:ind w:left="0" w:leftChars="0" w:firstLine="0" w:firstLineChars="0"/>
              <w:jc w:val="center"/>
              <w:rPr>
                <w:highlight w:val="none"/>
              </w:rPr>
            </w:pPr>
            <w:r>
              <w:rPr>
                <w:rFonts w:hint="eastAsia" w:ascii="宋体" w:hAnsi="宋体" w:cs="宋体"/>
                <w:b w:val="0"/>
                <w:bCs w:val="0"/>
                <w:sz w:val="24"/>
                <w:szCs w:val="24"/>
                <w:highlight w:val="none"/>
                <w:vertAlign w:val="baseline"/>
                <w:lang w:val="en-US" w:eastAsia="zh-CN"/>
              </w:rPr>
              <w:t>各合同段项目名称</w:t>
            </w:r>
          </w:p>
        </w:tc>
        <w:tc>
          <w:tcPr>
            <w:tcW w:w="1875" w:type="dxa"/>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发包人简称</w:t>
            </w:r>
          </w:p>
        </w:tc>
        <w:tc>
          <w:tcPr>
            <w:tcW w:w="2115" w:type="dxa"/>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工期（日历天）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5" w:type="dxa"/>
            <w:vMerge w:val="restart"/>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1</w:t>
            </w:r>
          </w:p>
        </w:tc>
        <w:tc>
          <w:tcPr>
            <w:tcW w:w="1800" w:type="dxa"/>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第1合同段</w:t>
            </w:r>
          </w:p>
        </w:tc>
        <w:tc>
          <w:tcPr>
            <w:tcW w:w="2535" w:type="dxa"/>
            <w:vAlign w:val="center"/>
          </w:tcPr>
          <w:p>
            <w:pPr>
              <w:numPr>
                <w:ilvl w:val="0"/>
                <w:numId w:val="0"/>
              </w:numPr>
              <w:spacing w:line="440" w:lineRule="exact"/>
              <w:ind w:left="0" w:leftChars="0" w:firstLine="0" w:firstLineChars="0"/>
              <w:jc w:val="center"/>
              <w:rPr>
                <w:rFonts w:hint="eastAsia" w:eastAsia="宋体"/>
                <w:highlight w:val="none"/>
                <w:lang w:eastAsia="zh-CN"/>
              </w:rPr>
            </w:pPr>
            <w:r>
              <w:rPr>
                <w:rFonts w:hint="eastAsia"/>
                <w:sz w:val="24"/>
                <w:szCs w:val="24"/>
                <w:highlight w:val="none"/>
                <w:lang w:eastAsia="zh-CN"/>
              </w:rPr>
              <w:t>广东省公路建设有限公司南环段分公司防撞墙护栏清洗及改造工程</w:t>
            </w:r>
          </w:p>
        </w:tc>
        <w:tc>
          <w:tcPr>
            <w:tcW w:w="1875" w:type="dxa"/>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南环段</w:t>
            </w:r>
          </w:p>
        </w:tc>
        <w:tc>
          <w:tcPr>
            <w:tcW w:w="2115" w:type="dxa"/>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5" w:type="dxa"/>
            <w:vMerge w:val="continue"/>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p>
        </w:tc>
        <w:tc>
          <w:tcPr>
            <w:tcW w:w="1800" w:type="dxa"/>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第2合同段</w:t>
            </w:r>
          </w:p>
        </w:tc>
        <w:tc>
          <w:tcPr>
            <w:tcW w:w="2535" w:type="dxa"/>
            <w:vAlign w:val="center"/>
          </w:tcPr>
          <w:p>
            <w:pPr>
              <w:numPr>
                <w:ilvl w:val="0"/>
                <w:numId w:val="0"/>
              </w:numPr>
              <w:spacing w:line="440" w:lineRule="exact"/>
              <w:ind w:left="0" w:leftChars="0" w:firstLine="0" w:firstLineChars="0"/>
              <w:jc w:val="center"/>
              <w:rPr>
                <w:highlight w:val="none"/>
              </w:rPr>
            </w:pPr>
            <w:r>
              <w:rPr>
                <w:rFonts w:hint="eastAsia" w:ascii="宋体" w:hAnsi="宋体" w:cs="宋体"/>
                <w:b w:val="0"/>
                <w:bCs w:val="0"/>
                <w:sz w:val="24"/>
                <w:szCs w:val="24"/>
                <w:highlight w:val="none"/>
                <w:vertAlign w:val="baseline"/>
                <w:lang w:val="en-US" w:eastAsia="zh-CN"/>
              </w:rPr>
              <w:t>广澳高速公路广珠段2018年防撞墙刷新工程</w:t>
            </w:r>
          </w:p>
        </w:tc>
        <w:tc>
          <w:tcPr>
            <w:tcW w:w="1875" w:type="dxa"/>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广珠东线</w:t>
            </w:r>
          </w:p>
        </w:tc>
        <w:tc>
          <w:tcPr>
            <w:tcW w:w="2115" w:type="dxa"/>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5" w:type="dxa"/>
            <w:vMerge w:val="continue"/>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p>
        </w:tc>
        <w:tc>
          <w:tcPr>
            <w:tcW w:w="1800" w:type="dxa"/>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第3合同段</w:t>
            </w:r>
          </w:p>
        </w:tc>
        <w:tc>
          <w:tcPr>
            <w:tcW w:w="253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480" w:firstLineChars="200"/>
              <w:jc w:val="center"/>
              <w:textAlignment w:val="auto"/>
              <w:outlineLvl w:val="9"/>
              <w:rPr>
                <w:highlight w:val="none"/>
              </w:rPr>
            </w:pPr>
            <w:r>
              <w:rPr>
                <w:rFonts w:hint="eastAsia" w:ascii="宋体" w:hAnsi="宋体" w:cs="宋体"/>
                <w:b w:val="0"/>
                <w:bCs w:val="0"/>
                <w:sz w:val="24"/>
                <w:szCs w:val="24"/>
                <w:highlight w:val="none"/>
                <w:vertAlign w:val="baseline"/>
                <w:lang w:val="en-US" w:eastAsia="zh-CN"/>
              </w:rPr>
              <w:t>广澳高速公路广珠北段石碁互通以北防撞栏内侧涂装及2018年度新泽西护栏露筋修补专项工程</w:t>
            </w:r>
          </w:p>
        </w:tc>
        <w:tc>
          <w:tcPr>
            <w:tcW w:w="1875" w:type="dxa"/>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广珠北段</w:t>
            </w:r>
          </w:p>
        </w:tc>
        <w:tc>
          <w:tcPr>
            <w:tcW w:w="2115" w:type="dxa"/>
            <w:vAlign w:val="center"/>
          </w:tcPr>
          <w:p>
            <w:pPr>
              <w:numPr>
                <w:ilvl w:val="0"/>
                <w:numId w:val="0"/>
              </w:numPr>
              <w:spacing w:line="440" w:lineRule="exact"/>
              <w:jc w:val="center"/>
              <w:rPr>
                <w:rFonts w:hint="eastAsia" w:ascii="宋体" w:hAnsi="宋体" w:cs="宋体"/>
                <w:b w:val="0"/>
                <w:bCs w:val="0"/>
                <w:sz w:val="24"/>
                <w:szCs w:val="24"/>
                <w:highlight w:val="none"/>
                <w:vertAlign w:val="baseline"/>
                <w:lang w:val="en-US" w:eastAsia="zh-CN"/>
              </w:rPr>
            </w:pPr>
            <w:r>
              <w:rPr>
                <w:rFonts w:hint="eastAsia" w:ascii="宋体" w:hAnsi="宋体" w:cs="宋体"/>
                <w:b w:val="0"/>
                <w:bCs w:val="0"/>
                <w:sz w:val="24"/>
                <w:szCs w:val="24"/>
                <w:highlight w:val="none"/>
                <w:vertAlign w:val="baseline"/>
                <w:lang w:val="en-US" w:eastAsia="zh-CN"/>
              </w:rPr>
              <w:t>60天</w:t>
            </w:r>
          </w:p>
        </w:tc>
      </w:tr>
    </w:tbl>
    <w:p>
      <w:pPr>
        <w:numPr>
          <w:ilvl w:val="0"/>
          <w:numId w:val="0"/>
        </w:numPr>
        <w:spacing w:line="440" w:lineRule="exact"/>
        <w:jc w:val="both"/>
        <w:rPr>
          <w:rFonts w:hint="eastAsia" w:ascii="宋体" w:hAnsi="宋体" w:cs="宋体"/>
          <w:b w:val="0"/>
          <w:bCs w:val="0"/>
          <w:sz w:val="30"/>
          <w:szCs w:val="30"/>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宋体" w:hAnsi="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二、各合同段项目简介（详见下页）</w:t>
      </w:r>
    </w:p>
    <w:bookmarkEnd w:id="0"/>
    <w:bookmarkEnd w:id="1"/>
    <w:p>
      <w:pPr>
        <w:tabs>
          <w:tab w:val="left" w:pos="420"/>
        </w:tabs>
        <w:adjustRightInd w:val="0"/>
        <w:snapToGrid w:val="0"/>
        <w:spacing w:line="360" w:lineRule="auto"/>
        <w:jc w:val="center"/>
        <w:rPr>
          <w:rStyle w:val="7"/>
          <w:rFonts w:hint="eastAsia"/>
          <w:highlight w:val="none"/>
          <w:lang w:eastAsia="zh-CN"/>
        </w:rPr>
      </w:pPr>
      <w:r>
        <w:rPr>
          <w:rFonts w:hint="eastAsia" w:ascii="宋体" w:hAnsi="宋体" w:cs="宋体"/>
          <w:sz w:val="24"/>
          <w:highlight w:val="none"/>
          <w:lang w:eastAsia="zh-CN"/>
        </w:rPr>
        <w:br w:type="page"/>
      </w:r>
      <w:r>
        <w:rPr>
          <w:rStyle w:val="7"/>
          <w:rFonts w:hint="eastAsia"/>
          <w:highlight w:val="none"/>
          <w:lang w:eastAsia="zh-CN"/>
        </w:rPr>
        <w:t>广东省公路建设有限公司南环段分公司防撞墙护栏清洗及改造工程工程项目概况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480" w:firstLineChars="200"/>
        <w:jc w:val="left"/>
        <w:textAlignment w:val="auto"/>
        <w:outlineLvl w:val="9"/>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一、主要工程项目内容：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00"/>
        <w:jc w:val="left"/>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对沿线护栏进行高压水枪冲洗，</w:t>
      </w:r>
      <w:r>
        <w:rPr>
          <w:rFonts w:hint="eastAsia" w:ascii="宋体" w:hAnsi="宋体" w:eastAsia="宋体" w:cs="宋体"/>
          <w:kern w:val="0"/>
          <w:sz w:val="24"/>
          <w:szCs w:val="24"/>
          <w:highlight w:val="none"/>
        </w:rPr>
        <w:t>局部范围砼坑洞、缺陷病害</w:t>
      </w:r>
      <w:r>
        <w:rPr>
          <w:rFonts w:hint="eastAsia" w:ascii="宋体" w:hAnsi="宋体" w:eastAsia="宋体" w:cs="宋体"/>
          <w:kern w:val="0"/>
          <w:sz w:val="24"/>
          <w:szCs w:val="24"/>
          <w:highlight w:val="none"/>
          <w:lang w:eastAsia="zh-CN"/>
        </w:rPr>
        <w:t>进行</w:t>
      </w:r>
      <w:r>
        <w:rPr>
          <w:rFonts w:hint="eastAsia" w:ascii="宋体" w:hAnsi="宋体" w:eastAsia="宋体" w:cs="宋体"/>
          <w:kern w:val="0"/>
          <w:sz w:val="24"/>
          <w:szCs w:val="24"/>
          <w:highlight w:val="none"/>
        </w:rPr>
        <w:t>环氧砂浆</w:t>
      </w:r>
      <w:r>
        <w:rPr>
          <w:rFonts w:hint="eastAsia" w:ascii="宋体" w:hAnsi="宋体" w:eastAsia="宋体" w:cs="宋体"/>
          <w:kern w:val="0"/>
          <w:sz w:val="24"/>
          <w:szCs w:val="24"/>
          <w:highlight w:val="none"/>
          <w:lang w:eastAsia="zh-CN"/>
        </w:rPr>
        <w:t>找平</w:t>
      </w:r>
      <w:r>
        <w:rPr>
          <w:rFonts w:hint="eastAsia" w:ascii="宋体" w:hAnsi="宋体" w:eastAsia="宋体" w:cs="宋体"/>
          <w:kern w:val="0"/>
          <w:sz w:val="24"/>
          <w:szCs w:val="24"/>
          <w:highlight w:val="none"/>
        </w:rPr>
        <w:t>修补</w:t>
      </w:r>
      <w:r>
        <w:rPr>
          <w:rFonts w:hint="eastAsia" w:ascii="宋体" w:hAnsi="宋体" w:eastAsia="宋体" w:cs="宋体"/>
          <w:kern w:val="0"/>
          <w:sz w:val="24"/>
          <w:szCs w:val="24"/>
          <w:highlight w:val="none"/>
          <w:lang w:eastAsia="zh-CN"/>
        </w:rPr>
        <w:t>，最后</w:t>
      </w:r>
      <w:r>
        <w:rPr>
          <w:rFonts w:hint="eastAsia" w:ascii="宋体" w:hAnsi="宋体" w:eastAsia="宋体" w:cs="宋体"/>
          <w:sz w:val="24"/>
          <w:szCs w:val="24"/>
          <w:highlight w:val="none"/>
          <w:lang w:eastAsia="zh-CN"/>
        </w:rPr>
        <w:t>采用</w:t>
      </w:r>
      <w:r>
        <w:rPr>
          <w:rFonts w:hint="eastAsia" w:ascii="宋体" w:hAnsi="宋体" w:eastAsia="宋体" w:cs="宋体"/>
          <w:kern w:val="0"/>
          <w:sz w:val="24"/>
          <w:szCs w:val="24"/>
          <w:highlight w:val="none"/>
        </w:rPr>
        <w:t>环氧云铁中间漆</w:t>
      </w:r>
      <w:r>
        <w:rPr>
          <w:rFonts w:hint="eastAsia" w:ascii="宋体" w:hAnsi="宋体" w:eastAsia="宋体" w:cs="宋体"/>
          <w:kern w:val="0"/>
          <w:sz w:val="24"/>
          <w:szCs w:val="24"/>
          <w:highlight w:val="none"/>
          <w:lang w:eastAsia="zh-CN"/>
        </w:rPr>
        <w:t>和</w:t>
      </w:r>
      <w:r>
        <w:rPr>
          <w:rFonts w:hint="eastAsia" w:ascii="宋体" w:hAnsi="宋体" w:eastAsia="宋体" w:cs="宋体"/>
          <w:kern w:val="0"/>
          <w:sz w:val="24"/>
          <w:szCs w:val="24"/>
          <w:highlight w:val="none"/>
        </w:rPr>
        <w:t>双组份脂肪族聚氨酯油性面漆</w:t>
      </w:r>
      <w:r>
        <w:rPr>
          <w:rFonts w:hint="eastAsia" w:ascii="宋体" w:hAnsi="宋体" w:eastAsia="宋体" w:cs="宋体"/>
          <w:sz w:val="24"/>
          <w:szCs w:val="24"/>
          <w:highlight w:val="none"/>
        </w:rPr>
        <w:t>对</w:t>
      </w:r>
      <w:r>
        <w:rPr>
          <w:rFonts w:hint="eastAsia" w:ascii="宋体" w:hAnsi="宋体" w:eastAsia="宋体" w:cs="宋体"/>
          <w:sz w:val="24"/>
          <w:szCs w:val="24"/>
          <w:highlight w:val="none"/>
          <w:lang w:eastAsia="zh-CN"/>
        </w:rPr>
        <w:t>沿线桥梁混凝土护栏</w:t>
      </w:r>
      <w:r>
        <w:rPr>
          <w:rFonts w:hint="eastAsia" w:ascii="宋体" w:hAnsi="宋体" w:eastAsia="宋体" w:cs="宋体"/>
          <w:sz w:val="24"/>
          <w:szCs w:val="24"/>
          <w:highlight w:val="none"/>
        </w:rPr>
        <w:t>涂装</w:t>
      </w:r>
      <w:r>
        <w:rPr>
          <w:rFonts w:hint="eastAsia" w:ascii="宋体" w:hAnsi="宋体" w:eastAsia="宋体" w:cs="宋体"/>
          <w:sz w:val="24"/>
          <w:szCs w:val="24"/>
          <w:highlight w:val="none"/>
          <w:lang w:eastAsia="zh-CN"/>
        </w:rPr>
        <w:t>，选取一公里桥梁防撞墙进行永凝液刷新。</w:t>
      </w:r>
    </w:p>
    <w:p>
      <w:pPr>
        <w:keepNext w:val="0"/>
        <w:keepLines w:val="0"/>
        <w:pageBreakBefore w:val="0"/>
        <w:widowControl w:val="0"/>
        <w:numPr>
          <w:ilvl w:val="0"/>
          <w:numId w:val="7"/>
        </w:numPr>
        <w:kinsoku/>
        <w:wordWrap/>
        <w:overflowPunct/>
        <w:topLinePunct w:val="0"/>
        <w:autoSpaceDE/>
        <w:autoSpaceDN/>
        <w:bidi w:val="0"/>
        <w:adjustRightInd/>
        <w:snapToGrid/>
        <w:spacing w:line="520" w:lineRule="exact"/>
        <w:ind w:left="0" w:leftChars="0" w:right="0" w:rightChars="0" w:firstLine="480" w:firstLineChars="200"/>
        <w:jc w:val="left"/>
        <w:textAlignment w:val="auto"/>
        <w:outlineLvl w:val="9"/>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工期：</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200"/>
        <w:jc w:val="left"/>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工期:2个月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480" w:firstLineChars="200"/>
        <w:jc w:val="left"/>
        <w:textAlignment w:val="auto"/>
        <w:outlineLvl w:val="9"/>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三、工程项目描述</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200"/>
        <w:jc w:val="left"/>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1.工程地点：</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200"/>
        <w:jc w:val="left"/>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工程地点位于南二环高速广州段东西行</w:t>
      </w:r>
      <w:r>
        <w:rPr>
          <w:rFonts w:hint="eastAsia" w:ascii="宋体" w:hAnsi="宋体" w:eastAsia="宋体" w:cs="宋体"/>
          <w:sz w:val="24"/>
          <w:szCs w:val="24"/>
          <w:highlight w:val="none"/>
          <w:lang w:val="en-US" w:eastAsia="zh-CN"/>
        </w:rPr>
        <w:t>K70～K90。</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200"/>
        <w:jc w:val="left"/>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2.水文与气候条件</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200"/>
        <w:jc w:val="left"/>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项目所在地区属南亚热带海洋性季风气候，温暖潮湿，雨量充沛，年均气温21.9°C，1月平均温度13.1～13.3°C，7月平均温度28.7～29.0°C。年均降水量1600～1650mm，多集中在4～9月，占全年降水量80～83%，年蒸发量1400～1600mm，潮湿系数大于1。按《公路自然区域图》，本区属华南沿海台风区（Ⅳ7），夏秋两季常有强热带风暴侵袭本区，每年平均1～4次，风力常达7～9级，最大风力12级，风速最大可达34m/s。</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200"/>
        <w:jc w:val="left"/>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3.交通、动力供应及其它服务条件</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200"/>
        <w:jc w:val="left"/>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本项目沿线有国、省道分布，镇、乡、村也基本通公路，运输条件好。能源、通信、医疗条件与服务设施齐全，满足工程建设需要。</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200"/>
        <w:jc w:val="left"/>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施工期间必须严格按照规定办理上路施工作业审批手续（办理施工公告、施工交通组织方案评审与施工许可审批费用等由中标人自行负责），按照规范要求设置各类道路施工标志，配备专门人员维护施工作业区域安全秩序，加强路面维修专项工程实施期间安全管理，确保自身作业安全和过往车辆交通安全。</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200"/>
        <w:jc w:val="left"/>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各类施工车辆行驶道路所需缴纳的通行费用等由承包人自行承担。</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200"/>
        <w:jc w:val="left"/>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4.工程地质与地震</w:t>
      </w:r>
    </w:p>
    <w:p>
      <w:pPr>
        <w:pStyle w:val="8"/>
        <w:keepNext w:val="0"/>
        <w:keepLines w:val="0"/>
        <w:pageBreakBefore w:val="0"/>
        <w:widowControl w:val="0"/>
        <w:kinsoku/>
        <w:wordWrap/>
        <w:overflowPunct/>
        <w:topLinePunct w:val="0"/>
        <w:autoSpaceDE/>
        <w:autoSpaceDN/>
        <w:bidi w:val="0"/>
        <w:adjustRightInd/>
        <w:snapToGrid/>
        <w:spacing w:before="0" w:beforeLines="0" w:line="400" w:lineRule="exact"/>
        <w:ind w:left="0" w:leftChars="0" w:right="0" w:rightChars="0" w:firstLine="480" w:firstLineChars="200"/>
        <w:jc w:val="left"/>
        <w:textAlignment w:val="auto"/>
        <w:outlineLvl w:val="9"/>
        <w:rPr>
          <w:rStyle w:val="7"/>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rPr>
        <w:t>沿线地势较为平坦，地表以下25～60m深度内，均为第四系松散沉积层。</w:t>
      </w: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400" w:lineRule="exact"/>
        <w:ind w:firstLine="0" w:firstLineChars="0"/>
        <w:jc w:val="center"/>
        <w:rPr>
          <w:rStyle w:val="7"/>
          <w:rFonts w:hint="eastAsia" w:ascii="Arial" w:hAnsi="Arial" w:cs="黑体"/>
          <w:kern w:val="2"/>
          <w:szCs w:val="24"/>
          <w:highlight w:val="none"/>
          <w:lang w:val="en-US" w:eastAsia="zh-CN" w:bidi="ar-SA"/>
        </w:rPr>
      </w:pPr>
    </w:p>
    <w:p>
      <w:pPr>
        <w:pStyle w:val="8"/>
        <w:spacing w:line="360" w:lineRule="auto"/>
        <w:ind w:firstLine="0" w:firstLineChars="0"/>
        <w:jc w:val="center"/>
        <w:rPr>
          <w:rStyle w:val="7"/>
          <w:rFonts w:hint="eastAsia" w:cs="黑体"/>
          <w:kern w:val="2"/>
          <w:szCs w:val="24"/>
          <w:highlight w:val="none"/>
          <w:lang w:val="en-US" w:eastAsia="zh-CN" w:bidi="ar-SA"/>
        </w:rPr>
      </w:pPr>
      <w:r>
        <w:rPr>
          <w:rFonts w:hint="eastAsia" w:ascii="宋体" w:hAnsi="宋体" w:cs="宋体"/>
          <w:sz w:val="36"/>
          <w:szCs w:val="36"/>
          <w:highlight w:val="none"/>
        </w:rPr>
        <w:br w:type="page"/>
      </w:r>
      <w:r>
        <w:rPr>
          <w:rStyle w:val="7"/>
          <w:rFonts w:hint="eastAsia" w:cs="黑体"/>
          <w:kern w:val="2"/>
          <w:szCs w:val="24"/>
          <w:highlight w:val="none"/>
          <w:lang w:val="en-US" w:eastAsia="zh-CN" w:bidi="ar-SA"/>
        </w:rPr>
        <w:t>广澳高速公路广珠段2018年防撞墙刷新工程</w:t>
      </w:r>
    </w:p>
    <w:p>
      <w:pPr>
        <w:pStyle w:val="8"/>
        <w:spacing w:line="360" w:lineRule="auto"/>
        <w:ind w:firstLine="0" w:firstLineChars="0"/>
        <w:jc w:val="center"/>
        <w:rPr>
          <w:rStyle w:val="7"/>
          <w:rFonts w:hint="eastAsia" w:ascii="宋体" w:hAnsi="宋体" w:eastAsia="宋体" w:cs="宋体"/>
          <w:b w:val="0"/>
          <w:bCs/>
          <w:kern w:val="2"/>
          <w:sz w:val="24"/>
          <w:szCs w:val="24"/>
          <w:highlight w:val="none"/>
          <w:lang w:val="en-US" w:eastAsia="zh-CN" w:bidi="ar-SA"/>
        </w:rPr>
      </w:pPr>
      <w:r>
        <w:rPr>
          <w:rStyle w:val="7"/>
          <w:rFonts w:hint="eastAsia" w:cs="黑体"/>
          <w:kern w:val="2"/>
          <w:szCs w:val="24"/>
          <w:highlight w:val="none"/>
          <w:lang w:val="en-US" w:eastAsia="zh-CN" w:bidi="ar-SA"/>
        </w:rPr>
        <w:t>工程项目</w:t>
      </w:r>
      <w:r>
        <w:rPr>
          <w:rStyle w:val="7"/>
          <w:rFonts w:hint="eastAsia"/>
          <w:highlight w:val="none"/>
          <w:lang w:eastAsia="zh-CN"/>
        </w:rPr>
        <w:t>概况</w:t>
      </w:r>
    </w:p>
    <w:p>
      <w:pPr>
        <w:pStyle w:val="8"/>
        <w:spacing w:line="360" w:lineRule="auto"/>
        <w:ind w:firstLine="0" w:firstLineChars="0"/>
        <w:jc w:val="left"/>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一、工程项目描述</w:t>
      </w:r>
    </w:p>
    <w:p>
      <w:pPr>
        <w:pStyle w:val="8"/>
        <w:spacing w:line="360" w:lineRule="auto"/>
        <w:ind w:firstLine="0" w:firstLineChars="0"/>
        <w:jc w:val="left"/>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 xml:space="preserve">    1.工程地点</w:t>
      </w:r>
    </w:p>
    <w:p>
      <w:pPr>
        <w:pStyle w:val="8"/>
        <w:keepNext w:val="0"/>
        <w:keepLines w:val="0"/>
        <w:pageBreakBefore w:val="0"/>
        <w:widowControl w:val="0"/>
        <w:kinsoku/>
        <w:wordWrap/>
        <w:overflowPunct/>
        <w:topLinePunct w:val="0"/>
        <w:autoSpaceDE/>
        <w:autoSpaceDN/>
        <w:bidi w:val="0"/>
        <w:adjustRightInd/>
        <w:snapToGrid/>
        <w:spacing w:before="0" w:beforeLines="0" w:line="360" w:lineRule="auto"/>
        <w:ind w:left="0" w:leftChars="0" w:right="0" w:rightChars="0" w:firstLine="480" w:firstLineChars="200"/>
        <w:jc w:val="left"/>
        <w:textAlignment w:val="auto"/>
        <w:outlineLvl w:val="9"/>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本次招标工程的地点位于广州市、中山市京珠高速公路广珠段有限公司管辖路段（G4w K42+874～K93+411、G9411 K45+328～K53+049路段和S9919  K0+0～K5+158路段）。</w:t>
      </w:r>
    </w:p>
    <w:p>
      <w:pPr>
        <w:pStyle w:val="8"/>
        <w:keepNext w:val="0"/>
        <w:keepLines w:val="0"/>
        <w:pageBreakBefore w:val="0"/>
        <w:widowControl w:val="0"/>
        <w:kinsoku/>
        <w:wordWrap/>
        <w:overflowPunct/>
        <w:topLinePunct w:val="0"/>
        <w:autoSpaceDE/>
        <w:autoSpaceDN/>
        <w:bidi w:val="0"/>
        <w:adjustRightInd/>
        <w:snapToGrid/>
        <w:spacing w:before="0" w:beforeLines="0" w:line="360" w:lineRule="auto"/>
        <w:ind w:left="0" w:leftChars="0" w:right="0" w:rightChars="0" w:firstLine="480" w:firstLineChars="200"/>
        <w:jc w:val="left"/>
        <w:textAlignment w:val="auto"/>
        <w:outlineLvl w:val="9"/>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2.水文与气候条件</w:t>
      </w:r>
    </w:p>
    <w:p>
      <w:pPr>
        <w:pStyle w:val="8"/>
        <w:spacing w:line="360" w:lineRule="auto"/>
        <w:ind w:firstLine="480" w:firstLineChars="200"/>
        <w:jc w:val="left"/>
        <w:rPr>
          <w:rStyle w:val="7"/>
          <w:rFonts w:hint="eastAsia" w:ascii="宋体" w:hAnsi="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 xml:space="preserve">项目所在地区属亚热带湿润季风气候区，受海洋季风影响，气候温暖，雨量充沛，夏季湿热，多台风暴雨，雨季为4～9月份。本路段范围内河流均属珠江水系，区内河流均属平原区河流，河岸较顺直，河床较为稳定，水流平缓，冲淤变化不大。    </w:t>
      </w:r>
      <w:r>
        <w:rPr>
          <w:rStyle w:val="7"/>
          <w:rFonts w:hint="eastAsia" w:ascii="宋体" w:hAnsi="宋体" w:cs="宋体"/>
          <w:b w:val="0"/>
          <w:bCs/>
          <w:kern w:val="2"/>
          <w:sz w:val="24"/>
          <w:szCs w:val="24"/>
          <w:highlight w:val="none"/>
          <w:lang w:val="en-US" w:eastAsia="zh-CN" w:bidi="ar-SA"/>
        </w:rPr>
        <w:t xml:space="preserve">    </w:t>
      </w:r>
    </w:p>
    <w:p>
      <w:pPr>
        <w:pStyle w:val="8"/>
        <w:spacing w:line="360" w:lineRule="auto"/>
        <w:ind w:firstLine="480" w:firstLineChars="200"/>
        <w:jc w:val="left"/>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3.交通、动力供应及其它服务条件</w:t>
      </w:r>
    </w:p>
    <w:p>
      <w:pPr>
        <w:pStyle w:val="8"/>
        <w:spacing w:line="360" w:lineRule="auto"/>
        <w:ind w:firstLine="480" w:firstLineChars="200"/>
        <w:jc w:val="left"/>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本项目沿线有国、省道分布，镇、乡、村也基本通公路，运输条件好。能源、通信、医疗条件与服务设施齐全,满足工程建设需要。</w:t>
      </w:r>
    </w:p>
    <w:p>
      <w:pPr>
        <w:pStyle w:val="8"/>
        <w:spacing w:line="360" w:lineRule="auto"/>
        <w:ind w:firstLine="0" w:firstLineChars="0"/>
        <w:jc w:val="left"/>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 xml:space="preserve">    施工期间必须严格按照规定办理上路施工作业审批手续（所需费用由中标人自行负责，包括但不限于办理施工公告、施工技术方案及安全维护方案评审，按照规范要求设置各类施工标志，配备专门人员维护施工作业区域安全秩序，加强专项工程实施期间安全管理，确保自身作业安全和暂住基地人员安全。</w:t>
      </w:r>
    </w:p>
    <w:p>
      <w:pPr>
        <w:pStyle w:val="8"/>
        <w:spacing w:line="360" w:lineRule="auto"/>
        <w:ind w:firstLine="480" w:firstLineChars="0"/>
        <w:jc w:val="left"/>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各类施工车辆行驶道路所需缴纳的通行费用等由承包人自行承担。</w:t>
      </w:r>
    </w:p>
    <w:p>
      <w:pPr>
        <w:pStyle w:val="8"/>
        <w:spacing w:line="360" w:lineRule="auto"/>
        <w:ind w:firstLine="480" w:firstLineChars="0"/>
        <w:jc w:val="left"/>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cs="宋体"/>
          <w:b w:val="0"/>
          <w:bCs/>
          <w:kern w:val="2"/>
          <w:sz w:val="24"/>
          <w:szCs w:val="24"/>
          <w:highlight w:val="none"/>
          <w:lang w:val="en-US" w:eastAsia="zh-CN" w:bidi="ar-SA"/>
        </w:rPr>
        <w:t>4.</w:t>
      </w:r>
      <w:r>
        <w:rPr>
          <w:rStyle w:val="7"/>
          <w:rFonts w:hint="eastAsia" w:ascii="宋体" w:hAnsi="宋体" w:eastAsia="宋体" w:cs="宋体"/>
          <w:b w:val="0"/>
          <w:bCs/>
          <w:kern w:val="2"/>
          <w:sz w:val="24"/>
          <w:szCs w:val="24"/>
          <w:highlight w:val="none"/>
          <w:lang w:val="en-US" w:eastAsia="zh-CN" w:bidi="ar-SA"/>
        </w:rPr>
        <w:t>工程地质与地震</w:t>
      </w:r>
    </w:p>
    <w:p>
      <w:pPr>
        <w:pStyle w:val="8"/>
        <w:spacing w:line="360" w:lineRule="auto"/>
        <w:ind w:firstLine="480" w:firstLineChars="0"/>
        <w:jc w:val="left"/>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沿线地势较为平坦，地表以下25～60m深度内，均为第四系松散沉积层。</w:t>
      </w:r>
    </w:p>
    <w:p>
      <w:pPr>
        <w:pStyle w:val="8"/>
        <w:spacing w:line="360" w:lineRule="auto"/>
        <w:ind w:firstLine="0" w:firstLineChars="0"/>
        <w:jc w:val="left"/>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 xml:space="preserve">    </w:t>
      </w:r>
      <w:r>
        <w:rPr>
          <w:rStyle w:val="7"/>
          <w:rFonts w:hint="eastAsia" w:ascii="宋体" w:hAnsi="宋体" w:cs="宋体"/>
          <w:b w:val="0"/>
          <w:bCs/>
          <w:kern w:val="2"/>
          <w:sz w:val="24"/>
          <w:szCs w:val="24"/>
          <w:highlight w:val="none"/>
          <w:lang w:val="en-US" w:eastAsia="zh-CN" w:bidi="ar-SA"/>
        </w:rPr>
        <w:t>5</w:t>
      </w:r>
      <w:r>
        <w:rPr>
          <w:rStyle w:val="7"/>
          <w:rFonts w:hint="eastAsia" w:ascii="宋体" w:hAnsi="宋体" w:eastAsia="宋体" w:cs="宋体"/>
          <w:b w:val="0"/>
          <w:bCs/>
          <w:kern w:val="2"/>
          <w:sz w:val="24"/>
          <w:szCs w:val="24"/>
          <w:highlight w:val="none"/>
          <w:lang w:val="en-US" w:eastAsia="zh-CN" w:bidi="ar-SA"/>
        </w:rPr>
        <w:t>.工程说明</w:t>
      </w:r>
    </w:p>
    <w:p>
      <w:pPr>
        <w:pStyle w:val="8"/>
        <w:keepNext w:val="0"/>
        <w:keepLines w:val="0"/>
        <w:pageBreakBefore w:val="0"/>
        <w:widowControl w:val="0"/>
        <w:kinsoku/>
        <w:wordWrap/>
        <w:overflowPunct/>
        <w:topLinePunct w:val="0"/>
        <w:autoSpaceDE/>
        <w:autoSpaceDN/>
        <w:bidi w:val="0"/>
        <w:adjustRightInd/>
        <w:snapToGrid/>
        <w:spacing w:before="0" w:beforeLines="0" w:line="360" w:lineRule="auto"/>
        <w:ind w:left="0" w:leftChars="0" w:right="0" w:rightChars="0" w:firstLine="480" w:firstLineChars="200"/>
        <w:jc w:val="left"/>
        <w:textAlignment w:val="auto"/>
        <w:outlineLvl w:val="9"/>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广澳高速公路广珠段是我国南北交通大动脉—京珠高速公路的最南端，连接着广州、深圳、香港、珠海、澳门。广珠段高速公路现通车路段分为两段：第一段从深圳方向过来接虎门大桥路段在广州市南沙区塘坑村开始，北行广州方向经坦尾互通至亭角村与南沙大道、广珠北段高速公路相连接，里程MK15+700-MK24+286，长8.586km，于1997年5月1日建成通车；第二段从坦尾互通开始经中山市至珠海市金鼎镇，里程K22+690-K76+458，长53.768km，于1999年12月6日建成通车，2010年路网更名调整为广澳高速（G4W）、广澳高速珠海支线（S9919）、莞佛高速（G9411）。</w:t>
      </w:r>
    </w:p>
    <w:p>
      <w:pPr>
        <w:pStyle w:val="8"/>
        <w:keepNext w:val="0"/>
        <w:keepLines w:val="0"/>
        <w:pageBreakBefore w:val="0"/>
        <w:widowControl w:val="0"/>
        <w:kinsoku/>
        <w:wordWrap/>
        <w:overflowPunct/>
        <w:topLinePunct w:val="0"/>
        <w:autoSpaceDE/>
        <w:autoSpaceDN/>
        <w:bidi w:val="0"/>
        <w:adjustRightInd/>
        <w:snapToGrid/>
        <w:spacing w:before="0" w:beforeLines="0" w:line="360" w:lineRule="auto"/>
        <w:ind w:left="0" w:leftChars="0" w:right="0" w:rightChars="0" w:firstLine="0" w:firstLineChars="0"/>
        <w:jc w:val="left"/>
        <w:textAlignment w:val="auto"/>
        <w:outlineLvl w:val="9"/>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按照2017年广东省交通集团有限公司部分路段防撞墙护栏清洗及改造意见需对沿线护栏进行高压水枪冲洗，局部范围砼坑洞、缺陷病害进行环氧砂浆找平修补，最后采用环氧云铁中间漆和双组份脂肪族聚氨酯油性面漆对沿线桥梁混凝土护栏涂装。</w:t>
      </w:r>
    </w:p>
    <w:p>
      <w:pPr>
        <w:pStyle w:val="8"/>
        <w:keepNext w:val="0"/>
        <w:keepLines w:val="0"/>
        <w:pageBreakBefore w:val="0"/>
        <w:widowControl w:val="0"/>
        <w:kinsoku/>
        <w:wordWrap/>
        <w:overflowPunct/>
        <w:topLinePunct w:val="0"/>
        <w:autoSpaceDE/>
        <w:autoSpaceDN/>
        <w:bidi w:val="0"/>
        <w:adjustRightInd/>
        <w:snapToGrid/>
        <w:spacing w:before="0" w:beforeLines="0" w:line="360" w:lineRule="auto"/>
        <w:ind w:left="0" w:leftChars="0" w:right="0" w:rightChars="0" w:firstLine="480" w:firstLineChars="200"/>
        <w:jc w:val="left"/>
        <w:textAlignment w:val="auto"/>
        <w:outlineLvl w:val="9"/>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本工程计划工期为</w:t>
      </w:r>
      <w:r>
        <w:rPr>
          <w:rStyle w:val="7"/>
          <w:rFonts w:hint="eastAsia" w:ascii="宋体" w:hAnsi="宋体" w:cs="宋体"/>
          <w:b w:val="0"/>
          <w:bCs/>
          <w:kern w:val="2"/>
          <w:sz w:val="24"/>
          <w:szCs w:val="24"/>
          <w:highlight w:val="none"/>
          <w:lang w:val="en-US" w:eastAsia="zh-CN" w:bidi="ar-SA"/>
        </w:rPr>
        <w:t>60</w:t>
      </w:r>
      <w:r>
        <w:rPr>
          <w:rStyle w:val="7"/>
          <w:rFonts w:hint="eastAsia" w:ascii="宋体" w:hAnsi="宋体" w:eastAsia="宋体" w:cs="宋体"/>
          <w:b w:val="0"/>
          <w:bCs/>
          <w:kern w:val="2"/>
          <w:sz w:val="24"/>
          <w:szCs w:val="24"/>
          <w:highlight w:val="none"/>
          <w:lang w:val="en-US" w:eastAsia="zh-CN" w:bidi="ar-SA"/>
        </w:rPr>
        <w:t>天。</w:t>
      </w:r>
    </w:p>
    <w:p>
      <w:pPr>
        <w:pStyle w:val="8"/>
        <w:spacing w:line="360" w:lineRule="auto"/>
        <w:ind w:firstLine="0" w:firstLineChars="0"/>
        <w:jc w:val="left"/>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二、工程技术标准</w:t>
      </w:r>
    </w:p>
    <w:p>
      <w:pPr>
        <w:pStyle w:val="8"/>
        <w:keepNext w:val="0"/>
        <w:keepLines w:val="0"/>
        <w:pageBreakBefore w:val="0"/>
        <w:widowControl w:val="0"/>
        <w:kinsoku/>
        <w:wordWrap/>
        <w:overflowPunct/>
        <w:topLinePunct w:val="0"/>
        <w:autoSpaceDE/>
        <w:autoSpaceDN/>
        <w:bidi w:val="0"/>
        <w:adjustRightInd/>
        <w:snapToGrid/>
        <w:spacing w:before="0" w:beforeLines="0" w:line="360" w:lineRule="auto"/>
        <w:ind w:left="0" w:leftChars="0" w:right="0" w:rightChars="0" w:firstLine="480" w:firstLineChars="200"/>
        <w:jc w:val="left"/>
        <w:textAlignment w:val="auto"/>
        <w:outlineLvl w:val="9"/>
        <w:rPr>
          <w:rStyle w:val="7"/>
          <w:rFonts w:hint="eastAsia" w:ascii="宋体" w:hAnsi="宋体" w:eastAsia="宋体" w:cs="宋体"/>
          <w:b w:val="0"/>
          <w:bCs/>
          <w:kern w:val="2"/>
          <w:sz w:val="24"/>
          <w:szCs w:val="24"/>
          <w:highlight w:val="none"/>
          <w:lang w:val="en-US" w:eastAsia="zh-CN" w:bidi="ar-SA"/>
        </w:rPr>
      </w:pPr>
      <w:r>
        <w:rPr>
          <w:rStyle w:val="7"/>
          <w:rFonts w:hint="eastAsia" w:ascii="宋体" w:hAnsi="宋体" w:eastAsia="宋体" w:cs="宋体"/>
          <w:b w:val="0"/>
          <w:bCs/>
          <w:kern w:val="2"/>
          <w:sz w:val="24"/>
          <w:szCs w:val="24"/>
          <w:highlight w:val="none"/>
          <w:lang w:val="en-US" w:eastAsia="zh-CN" w:bidi="ar-SA"/>
        </w:rPr>
        <w:t>按照有关规范、指南、施工图设计文件。</w:t>
      </w:r>
    </w:p>
    <w:p>
      <w:pPr>
        <w:pStyle w:val="8"/>
        <w:spacing w:line="400" w:lineRule="exact"/>
        <w:ind w:firstLine="0" w:firstLineChars="0"/>
        <w:jc w:val="center"/>
        <w:rPr>
          <w:rFonts w:hint="eastAsia" w:ascii="仿宋_GB2312" w:eastAsia="仿宋_GB2312"/>
          <w:b/>
          <w:sz w:val="32"/>
          <w:szCs w:val="32"/>
          <w:highlight w:val="none"/>
          <w:lang w:eastAsia="zh-CN"/>
        </w:rPr>
      </w:pPr>
    </w:p>
    <w:p>
      <w:pPr>
        <w:pStyle w:val="8"/>
        <w:spacing w:line="400" w:lineRule="exact"/>
        <w:ind w:firstLine="0" w:firstLineChars="0"/>
        <w:jc w:val="center"/>
        <w:rPr>
          <w:rFonts w:ascii="仿宋_GB2312" w:eastAsia="仿宋_GB2312"/>
          <w:b/>
          <w:sz w:val="32"/>
          <w:szCs w:val="32"/>
          <w:highlight w:val="none"/>
        </w:rPr>
      </w:pPr>
      <w:r>
        <w:rPr>
          <w:rFonts w:hint="eastAsia" w:ascii="宋体" w:hAnsi="宋体" w:cs="宋体"/>
          <w:sz w:val="36"/>
          <w:szCs w:val="36"/>
          <w:highlight w:val="none"/>
        </w:rPr>
        <w:br w:type="page"/>
      </w:r>
      <w:r>
        <w:rPr>
          <w:rStyle w:val="7"/>
          <w:rFonts w:hint="eastAsia" w:ascii="Arial" w:hAnsi="Arial" w:cs="黑体"/>
          <w:kern w:val="2"/>
          <w:szCs w:val="24"/>
          <w:highlight w:val="none"/>
          <w:lang w:val="en-US" w:eastAsia="zh-CN" w:bidi="ar-SA"/>
        </w:rPr>
        <w:t>广澳高速公路广珠北段石碁互通以北防撞栏内侧涂装及2018年度新泽西护栏露筋修补专项工程</w:t>
      </w:r>
      <w:r>
        <w:rPr>
          <w:rStyle w:val="7"/>
          <w:rFonts w:hint="eastAsia" w:cs="黑体"/>
          <w:kern w:val="2"/>
          <w:szCs w:val="24"/>
          <w:highlight w:val="none"/>
          <w:lang w:val="en-US" w:eastAsia="zh-CN" w:bidi="ar-SA"/>
        </w:rPr>
        <w:t>项目</w:t>
      </w:r>
      <w:r>
        <w:rPr>
          <w:rStyle w:val="7"/>
          <w:rFonts w:hint="eastAsia"/>
          <w:highlight w:val="none"/>
          <w:lang w:eastAsia="zh-CN"/>
        </w:rPr>
        <w:t>概况</w:t>
      </w:r>
    </w:p>
    <w:p>
      <w:pPr>
        <w:tabs>
          <w:tab w:val="left" w:pos="420"/>
        </w:tabs>
        <w:adjustRightInd w:val="0"/>
        <w:snapToGrid w:val="0"/>
        <w:spacing w:line="360" w:lineRule="auto"/>
        <w:rPr>
          <w:rFonts w:hint="eastAsia" w:ascii="宋体" w:hAnsi="宋体" w:eastAsia="宋体" w:cs="宋体"/>
          <w:sz w:val="24"/>
          <w:highlight w:val="none"/>
          <w:lang w:eastAsia="zh-CN"/>
        </w:rPr>
      </w:pPr>
    </w:p>
    <w:p>
      <w:pPr>
        <w:pStyle w:val="8"/>
        <w:spacing w:line="360" w:lineRule="auto"/>
        <w:ind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一、工程项目描述</w:t>
      </w:r>
    </w:p>
    <w:p>
      <w:pPr>
        <w:spacing w:before="0" w:beforeLines="0" w:beforeAutospacing="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1.工程地点</w:t>
      </w:r>
    </w:p>
    <w:p>
      <w:pPr>
        <w:spacing w:before="0" w:beforeLines="0" w:beforeAutospacing="0"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本次招标工程的地点位于</w:t>
      </w:r>
      <w:r>
        <w:rPr>
          <w:rFonts w:hint="eastAsia" w:ascii="宋体" w:hAnsi="宋体" w:eastAsia="宋体" w:cs="宋体"/>
          <w:sz w:val="24"/>
          <w:szCs w:val="24"/>
          <w:highlight w:val="none"/>
          <w:lang w:eastAsia="zh-CN"/>
        </w:rPr>
        <w:t>广澳高速公路广珠北段全线</w:t>
      </w:r>
      <w:r>
        <w:rPr>
          <w:rFonts w:hint="eastAsia" w:ascii="宋体" w:hAnsi="宋体" w:eastAsia="宋体" w:cs="宋体"/>
          <w:sz w:val="24"/>
          <w:szCs w:val="24"/>
          <w:highlight w:val="none"/>
        </w:rPr>
        <w:t>。</w:t>
      </w:r>
    </w:p>
    <w:p>
      <w:pPr>
        <w:numPr>
          <w:ilvl w:val="0"/>
          <w:numId w:val="8"/>
        </w:numPr>
        <w:spacing w:before="0" w:beforeLines="0" w:beforeAutospacing="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水文与气候条件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360" w:lineRule="auto"/>
        <w:ind w:left="0" w:leftChars="0" w:right="0" w:rightChars="0" w:firstLine="480" w:firstLineChars="200"/>
        <w:jc w:val="both"/>
        <w:textAlignment w:val="auto"/>
        <w:outlineLvl w:val="9"/>
        <w:rPr>
          <w:rFonts w:hint="eastAsia" w:ascii="宋体" w:hAnsi="宋体"/>
          <w:sz w:val="24"/>
          <w:szCs w:val="24"/>
          <w:highlight w:val="none"/>
          <w:lang w:eastAsia="zh-CN"/>
        </w:rPr>
      </w:pPr>
      <w:r>
        <w:rPr>
          <w:rFonts w:hint="eastAsia" w:ascii="宋体" w:hAnsi="宋体" w:eastAsia="宋体" w:cs="宋体"/>
          <w:sz w:val="24"/>
          <w:szCs w:val="24"/>
          <w:highlight w:val="none"/>
        </w:rPr>
        <w:t>项</w:t>
      </w:r>
      <w:r>
        <w:rPr>
          <w:rFonts w:hint="eastAsia" w:ascii="宋体" w:hAnsi="宋体"/>
          <w:sz w:val="24"/>
          <w:szCs w:val="24"/>
          <w:highlight w:val="none"/>
          <w:lang w:eastAsia="zh-CN"/>
        </w:rPr>
        <w:t>目所在地区属亚热带湿润季风气候区，年平均气温21.8℃，冬季最冷月份为1月，平均气温为13℃，极端最低气温在0℃以下。夏季最热月份为7月，平均气温为28.8℃，极端最高气温38.7℃。4～9月为汛期，洪水量占年迳流量的76～89%，径流年内分配不均匀，4～9月约占全年76%，其中又以4～6月最集中，约占全年一半。</w:t>
      </w:r>
    </w:p>
    <w:p>
      <w:pPr>
        <w:keepNext w:val="0"/>
        <w:keepLines w:val="0"/>
        <w:pageBreakBefore w:val="0"/>
        <w:widowControl w:val="0"/>
        <w:kinsoku/>
        <w:wordWrap/>
        <w:overflowPunct/>
        <w:topLinePunct w:val="0"/>
        <w:autoSpaceDE/>
        <w:autoSpaceDN/>
        <w:bidi w:val="0"/>
        <w:adjustRightInd/>
        <w:snapToGrid/>
        <w:spacing w:beforeAutospacing="0"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3.交通、动力供应及其它服务条件</w:t>
      </w:r>
    </w:p>
    <w:p>
      <w:pPr>
        <w:keepNext w:val="0"/>
        <w:keepLines w:val="0"/>
        <w:pageBreakBefore w:val="0"/>
        <w:widowControl w:val="0"/>
        <w:kinsoku/>
        <w:wordWrap/>
        <w:overflowPunct/>
        <w:topLinePunct w:val="0"/>
        <w:autoSpaceDE/>
        <w:autoSpaceDN/>
        <w:bidi w:val="0"/>
        <w:adjustRightInd/>
        <w:snapToGrid/>
        <w:spacing w:beforeAutospacing="0"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本项目沿线有国、省道分布，镇、乡、村也基本通公路，运输条件好。能源、通信、医疗条件与服务设施齐全,满足工程建设需要。</w:t>
      </w:r>
    </w:p>
    <w:p>
      <w:pPr>
        <w:keepNext w:val="0"/>
        <w:keepLines w:val="0"/>
        <w:pageBreakBefore w:val="0"/>
        <w:widowControl w:val="0"/>
        <w:kinsoku/>
        <w:wordWrap/>
        <w:overflowPunct/>
        <w:topLinePunct w:val="0"/>
        <w:autoSpaceDE/>
        <w:autoSpaceDN/>
        <w:bidi w:val="0"/>
        <w:adjustRightInd/>
        <w:snapToGrid/>
        <w:spacing w:beforeAutospacing="0"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施工期间必须严格按照规定办理上路施工作业审批手续（所需费用由中标人自行负责，包括但不限于办理施工公告、施工技术方案及安全维护方案评审，按照规范要求设置各类施工标志，配备专门人员维护施工作业区域安全秩序，加强专项工程实施期间安全管理，确保自身作业安全和暂住基地人员安全。</w:t>
      </w:r>
    </w:p>
    <w:p>
      <w:pPr>
        <w:keepNext w:val="0"/>
        <w:keepLines w:val="0"/>
        <w:pageBreakBefore w:val="0"/>
        <w:widowControl w:val="0"/>
        <w:kinsoku/>
        <w:wordWrap/>
        <w:overflowPunct/>
        <w:topLinePunct w:val="0"/>
        <w:autoSpaceDE/>
        <w:autoSpaceDN/>
        <w:bidi w:val="0"/>
        <w:adjustRightInd/>
        <w:snapToGrid/>
        <w:spacing w:beforeAutospacing="0"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各类施工车辆行驶道路所需缴纳的通行费用等由承包人自行承担。</w:t>
      </w:r>
    </w:p>
    <w:p>
      <w:pPr>
        <w:keepNext w:val="0"/>
        <w:keepLines w:val="0"/>
        <w:pageBreakBefore w:val="0"/>
        <w:widowControl w:val="0"/>
        <w:numPr>
          <w:ilvl w:val="0"/>
          <w:numId w:val="9"/>
        </w:numPr>
        <w:kinsoku/>
        <w:wordWrap/>
        <w:overflowPunct/>
        <w:topLinePunct w:val="0"/>
        <w:autoSpaceDE/>
        <w:autoSpaceDN/>
        <w:bidi w:val="0"/>
        <w:adjustRightInd/>
        <w:snapToGrid/>
        <w:spacing w:beforeAutospacing="0"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工程说明</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对全线桥梁防撞栏局部范围砼露筋、锈胀等缺陷病害进行Ⅰ级改性环氧砂浆找平修补，最后采用环氧云铁中间漆和双组份脂肪族聚氨酯油性面漆或永凝液混合料</w:t>
      </w:r>
      <w:r>
        <w:rPr>
          <w:rFonts w:hint="eastAsia" w:ascii="宋体" w:hAnsi="宋体" w:eastAsia="宋体" w:cs="宋体"/>
          <w:kern w:val="0"/>
          <w:sz w:val="24"/>
          <w:szCs w:val="24"/>
          <w:highlight w:val="none"/>
        </w:rPr>
        <w:t>对沿线桥梁混凝土护栏涂装处治。</w:t>
      </w:r>
      <w:r>
        <w:rPr>
          <w:rFonts w:hint="eastAsia" w:ascii="宋体" w:hAnsi="宋体" w:eastAsia="宋体" w:cs="宋体"/>
          <w:sz w:val="24"/>
          <w:szCs w:val="24"/>
          <w:highlight w:val="none"/>
          <w:lang w:val="en-US" w:eastAsia="zh-CN"/>
        </w:rPr>
        <w:t>广澳高速公路广珠北段日均车流量为55000-70000辆。</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360" w:lineRule="auto"/>
        <w:ind w:left="0" w:leftChars="0" w:right="0" w:rightChars="0" w:firstLine="480" w:firstLineChars="200"/>
        <w:jc w:val="both"/>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本工程计划工期为</w:t>
      </w:r>
      <w:r>
        <w:rPr>
          <w:rFonts w:hint="eastAsia" w:ascii="宋体" w:hAnsi="宋体" w:eastAsia="宋体" w:cs="宋体"/>
          <w:sz w:val="24"/>
          <w:szCs w:val="24"/>
          <w:highlight w:val="none"/>
          <w:lang w:val="en-US" w:eastAsia="zh-CN"/>
        </w:rPr>
        <w:t>60</w:t>
      </w:r>
      <w:r>
        <w:rPr>
          <w:rFonts w:hint="eastAsia" w:ascii="宋体" w:hAnsi="宋体" w:eastAsia="宋体" w:cs="宋体"/>
          <w:sz w:val="24"/>
          <w:szCs w:val="24"/>
          <w:highlight w:val="none"/>
        </w:rPr>
        <w:t>天。</w:t>
      </w:r>
    </w:p>
    <w:p>
      <w:pPr>
        <w:spacing w:before="0" w:beforeLines="0" w:beforeAutospacing="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二、工程技术标准</w:t>
      </w:r>
    </w:p>
    <w:p>
      <w:pPr>
        <w:spacing w:before="0" w:beforeLines="0" w:beforeAutospacing="0" w:line="360" w:lineRule="auto"/>
        <w:ind w:firstLine="465"/>
        <w:rPr>
          <w:rFonts w:hint="eastAsia" w:ascii="宋体" w:hAnsi="宋体" w:eastAsia="宋体" w:cs="宋体"/>
          <w:sz w:val="24"/>
          <w:szCs w:val="24"/>
          <w:highlight w:val="none"/>
        </w:rPr>
      </w:pPr>
      <w:r>
        <w:rPr>
          <w:rFonts w:hint="eastAsia" w:ascii="宋体" w:hAnsi="宋体" w:eastAsia="宋体" w:cs="宋体"/>
          <w:sz w:val="24"/>
          <w:szCs w:val="24"/>
          <w:highlight w:val="none"/>
        </w:rPr>
        <w:t>按照有关规范、指南、施工图设计文件。</w:t>
      </w:r>
    </w:p>
    <w:p>
      <w:pPr>
        <w:pStyle w:val="3"/>
        <w:jc w:val="both"/>
        <w:rPr>
          <w:rFonts w:hint="eastAsia" w:ascii="宋体" w:hAnsi="宋体" w:cs="宋体"/>
          <w:sz w:val="36"/>
          <w:szCs w:val="36"/>
          <w:highlight w:val="none"/>
        </w:rPr>
      </w:pPr>
      <w:r>
        <w:rPr>
          <w:rFonts w:hint="eastAsia" w:ascii="宋体" w:hAnsi="宋体" w:cs="宋体"/>
          <w:sz w:val="36"/>
          <w:szCs w:val="36"/>
          <w:highlight w:val="none"/>
        </w:rPr>
        <w:br w:type="page"/>
      </w:r>
    </w:p>
    <w:p>
      <w:pPr>
        <w:pStyle w:val="3"/>
        <w:jc w:val="both"/>
        <w:rPr>
          <w:rFonts w:hint="eastAsia" w:ascii="宋体" w:hAnsi="宋体" w:cs="宋体"/>
          <w:b w:val="0"/>
          <w:bCs/>
          <w:sz w:val="32"/>
          <w:szCs w:val="32"/>
          <w:highlight w:val="none"/>
          <w:lang w:val="en-US" w:eastAsia="zh-CN"/>
        </w:rPr>
      </w:pPr>
      <w:r>
        <w:rPr>
          <w:rFonts w:hint="eastAsia" w:ascii="宋体" w:hAnsi="宋体" w:cs="宋体"/>
          <w:b w:val="0"/>
          <w:bCs/>
          <w:sz w:val="32"/>
          <w:szCs w:val="32"/>
          <w:highlight w:val="none"/>
          <w:lang w:eastAsia="zh-CN"/>
        </w:rPr>
        <w:t>附件</w:t>
      </w:r>
      <w:r>
        <w:rPr>
          <w:rFonts w:hint="eastAsia" w:ascii="宋体" w:hAnsi="宋体" w:cs="宋体"/>
          <w:b w:val="0"/>
          <w:bCs/>
          <w:sz w:val="32"/>
          <w:szCs w:val="32"/>
          <w:highlight w:val="none"/>
          <w:lang w:val="en-US" w:eastAsia="zh-CN"/>
        </w:rPr>
        <w:t>3</w:t>
      </w:r>
    </w:p>
    <w:p>
      <w:pPr>
        <w:pStyle w:val="3"/>
        <w:ind w:firstLine="2249" w:firstLineChars="700"/>
        <w:jc w:val="both"/>
        <w:rPr>
          <w:rFonts w:hint="eastAsia" w:ascii="宋体" w:hAnsi="宋体" w:cs="宋体"/>
          <w:sz w:val="32"/>
          <w:szCs w:val="32"/>
          <w:highlight w:val="none"/>
        </w:rPr>
      </w:pPr>
      <w:r>
        <w:rPr>
          <w:rFonts w:hint="eastAsia" w:ascii="宋体" w:hAnsi="宋体" w:cs="宋体"/>
          <w:sz w:val="32"/>
          <w:szCs w:val="32"/>
          <w:highlight w:val="none"/>
        </w:rPr>
        <w:t xml:space="preserve"> 评标办法(</w:t>
      </w:r>
      <w:r>
        <w:rPr>
          <w:rFonts w:hint="eastAsia" w:ascii="宋体" w:hAnsi="宋体" w:cs="宋体"/>
          <w:sz w:val="32"/>
          <w:szCs w:val="32"/>
          <w:highlight w:val="none"/>
          <w:lang w:eastAsia="zh-CN"/>
        </w:rPr>
        <w:t>双信封的</w:t>
      </w:r>
      <w:r>
        <w:rPr>
          <w:rFonts w:hint="eastAsia" w:ascii="宋体" w:hAnsi="宋体" w:cs="宋体"/>
          <w:sz w:val="32"/>
          <w:szCs w:val="32"/>
          <w:highlight w:val="none"/>
        </w:rPr>
        <w:t>合理低价法)</w:t>
      </w:r>
    </w:p>
    <w:p>
      <w:pPr>
        <w:spacing w:line="440" w:lineRule="exact"/>
        <w:jc w:val="center"/>
        <w:rPr>
          <w:rFonts w:hint="eastAsia" w:ascii="宋体" w:hAnsi="宋体" w:cs="宋体"/>
          <w:sz w:val="32"/>
          <w:szCs w:val="32"/>
          <w:highlight w:val="none"/>
        </w:rPr>
      </w:pPr>
      <w:r>
        <w:rPr>
          <w:rFonts w:hint="eastAsia" w:ascii="宋体" w:hAnsi="宋体" w:cs="宋体"/>
          <w:sz w:val="32"/>
          <w:szCs w:val="32"/>
          <w:highlight w:val="none"/>
        </w:rPr>
        <w:t>评标办法前附表</w:t>
      </w:r>
    </w:p>
    <w:tbl>
      <w:tblPr>
        <w:tblStyle w:val="5"/>
        <w:tblW w:w="910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3"/>
        <w:gridCol w:w="865"/>
        <w:gridCol w:w="74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0" w:hRule="atLeast"/>
          <w:tblHeader/>
        </w:trPr>
        <w:tc>
          <w:tcPr>
            <w:tcW w:w="1608" w:type="dxa"/>
            <w:gridSpan w:val="2"/>
            <w:tcBorders>
              <w:top w:val="single" w:color="auto" w:sz="4" w:space="0"/>
              <w:bottom w:val="single" w:color="auto" w:sz="4" w:space="0"/>
              <w:right w:val="single" w:color="auto" w:sz="4" w:space="0"/>
            </w:tcBorders>
            <w:vAlign w:val="center"/>
          </w:tcPr>
          <w:p>
            <w:pPr>
              <w:spacing w:line="400" w:lineRule="atLeast"/>
              <w:jc w:val="center"/>
              <w:rPr>
                <w:rFonts w:hint="eastAsia" w:ascii="宋体" w:hAnsi="宋体" w:cs="宋体"/>
                <w:b/>
                <w:szCs w:val="21"/>
                <w:highlight w:val="none"/>
              </w:rPr>
            </w:pPr>
            <w:r>
              <w:rPr>
                <w:rFonts w:hint="eastAsia" w:ascii="宋体" w:hAnsi="宋体" w:cs="宋体"/>
                <w:b/>
                <w:szCs w:val="21"/>
                <w:highlight w:val="none"/>
              </w:rPr>
              <w:t>条款号</w:t>
            </w:r>
          </w:p>
        </w:tc>
        <w:tc>
          <w:tcPr>
            <w:tcW w:w="7492"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s="宋体"/>
                <w:b/>
                <w:szCs w:val="21"/>
                <w:highlight w:val="none"/>
              </w:rPr>
            </w:pPr>
            <w:r>
              <w:rPr>
                <w:rFonts w:hint="eastAsia" w:ascii="宋体" w:hAnsi="宋体" w:cs="宋体"/>
                <w:b/>
                <w:szCs w:val="21"/>
                <w:highlight w:val="none"/>
              </w:rPr>
              <w:t>评审因素与评审标准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758" w:hRule="atLeast"/>
        </w:trPr>
        <w:tc>
          <w:tcPr>
            <w:tcW w:w="743" w:type="dxa"/>
            <w:tcBorders>
              <w:top w:val="single" w:color="auto" w:sz="4" w:space="0"/>
              <w:bottom w:val="single" w:color="auto" w:sz="4" w:space="0"/>
              <w:right w:val="single" w:color="auto" w:sz="4" w:space="0"/>
            </w:tcBorders>
            <w:vAlign w:val="center"/>
          </w:tcPr>
          <w:p>
            <w:pPr>
              <w:spacing w:line="400" w:lineRule="atLeast"/>
              <w:jc w:val="center"/>
              <w:rPr>
                <w:rFonts w:hint="eastAsia" w:ascii="宋体" w:hAnsi="宋体" w:cs="宋体"/>
                <w:szCs w:val="21"/>
                <w:highlight w:val="none"/>
              </w:rPr>
            </w:pPr>
            <w:r>
              <w:rPr>
                <w:rFonts w:hint="eastAsia" w:ascii="宋体" w:hAnsi="宋体" w:cs="宋体"/>
                <w:szCs w:val="21"/>
                <w:highlight w:val="none"/>
              </w:rPr>
              <w:t>1</w:t>
            </w:r>
          </w:p>
        </w:tc>
        <w:tc>
          <w:tcPr>
            <w:tcW w:w="865" w:type="dxa"/>
            <w:tcBorders>
              <w:top w:val="single" w:color="auto" w:sz="4" w:space="0"/>
              <w:bottom w:val="single" w:color="auto" w:sz="4" w:space="0"/>
              <w:right w:val="single" w:color="auto" w:sz="4" w:space="0"/>
            </w:tcBorders>
            <w:vAlign w:val="center"/>
          </w:tcPr>
          <w:p>
            <w:pPr>
              <w:spacing w:line="400" w:lineRule="atLeast"/>
              <w:jc w:val="center"/>
              <w:rPr>
                <w:rFonts w:hint="eastAsia" w:ascii="宋体" w:hAnsi="宋体" w:cs="宋体"/>
                <w:szCs w:val="21"/>
                <w:highlight w:val="none"/>
              </w:rPr>
            </w:pPr>
            <w:r>
              <w:rPr>
                <w:rFonts w:hint="eastAsia" w:ascii="宋体" w:hAnsi="宋体" w:cs="宋体"/>
                <w:szCs w:val="21"/>
                <w:highlight w:val="none"/>
              </w:rPr>
              <w:t>评标方法</w:t>
            </w:r>
          </w:p>
        </w:tc>
        <w:tc>
          <w:tcPr>
            <w:tcW w:w="7492" w:type="dxa"/>
            <w:tcBorders>
              <w:top w:val="single" w:color="auto" w:sz="4" w:space="0"/>
              <w:left w:val="single" w:color="auto" w:sz="4" w:space="0"/>
              <w:bottom w:val="single" w:color="auto" w:sz="4" w:space="0"/>
              <w:right w:val="single" w:color="auto" w:sz="4" w:space="0"/>
            </w:tcBorders>
            <w:vAlign w:val="center"/>
          </w:tcPr>
          <w:p>
            <w:pPr>
              <w:spacing w:line="400" w:lineRule="atLeast"/>
              <w:ind w:firstLine="420" w:firstLineChars="200"/>
              <w:rPr>
                <w:rFonts w:hint="eastAsia" w:ascii="宋体" w:hAnsi="宋体" w:cs="宋体"/>
                <w:bCs/>
                <w:szCs w:val="21"/>
                <w:highlight w:val="none"/>
              </w:rPr>
            </w:pPr>
            <w:r>
              <w:rPr>
                <w:rFonts w:hint="eastAsia" w:ascii="宋体" w:hAnsi="宋体" w:cs="宋体"/>
                <w:bCs/>
                <w:szCs w:val="21"/>
                <w:highlight w:val="none"/>
              </w:rPr>
              <w:t>综合评分相等时，评标委员会依次按照以下优先顺序推荐中标候选人或确定中标人：</w:t>
            </w:r>
          </w:p>
          <w:p>
            <w:pPr>
              <w:numPr>
                <w:ilvl w:val="0"/>
                <w:numId w:val="10"/>
              </w:numPr>
              <w:spacing w:line="360" w:lineRule="auto"/>
              <w:ind w:firstLine="420" w:firstLineChars="200"/>
              <w:rPr>
                <w:rFonts w:hint="eastAsia" w:ascii="宋体" w:hAnsi="宋体" w:eastAsia="宋体" w:cs="宋体"/>
                <w:bCs/>
                <w:spacing w:val="0"/>
                <w:kern w:val="2"/>
                <w:sz w:val="21"/>
                <w:szCs w:val="21"/>
                <w:highlight w:val="none"/>
                <w:lang w:val="zh-CN" w:eastAsia="zh-CN" w:bidi="ar-SA"/>
              </w:rPr>
            </w:pPr>
            <w:r>
              <w:rPr>
                <w:rFonts w:hint="eastAsia" w:ascii="宋体" w:hAnsi="宋体" w:cs="宋体"/>
                <w:bCs/>
                <w:szCs w:val="21"/>
                <w:highlight w:val="none"/>
              </w:rPr>
              <w:t>评标价低的优先</w:t>
            </w:r>
            <w:r>
              <w:rPr>
                <w:rFonts w:hint="eastAsia" w:ascii="宋体" w:hAnsi="宋体" w:cs="宋体"/>
                <w:bCs/>
                <w:szCs w:val="21"/>
                <w:highlight w:val="none"/>
                <w:lang w:eastAsia="zh-CN"/>
              </w:rPr>
              <w:t>，当一家以上投标人综合得分相等且评标价也相等时，若各投标人工程量清单细目单价也相同，视为串标（一个合同段仅一个工作细目报价的除外），应否决其投标；</w:t>
            </w:r>
          </w:p>
          <w:p>
            <w:pPr>
              <w:numPr>
                <w:ilvl w:val="0"/>
                <w:numId w:val="10"/>
              </w:numPr>
              <w:spacing w:line="360" w:lineRule="auto"/>
              <w:ind w:firstLine="422" w:firstLineChars="200"/>
              <w:rPr>
                <w:rFonts w:hint="eastAsia" w:ascii="宋体" w:hAnsi="宋体" w:cs="宋体"/>
                <w:bCs/>
                <w:szCs w:val="21"/>
                <w:highlight w:val="none"/>
              </w:rPr>
            </w:pPr>
            <w:r>
              <w:rPr>
                <w:rFonts w:hint="eastAsia" w:ascii="宋体" w:hAnsi="宋体"/>
                <w:b/>
                <w:bCs/>
                <w:szCs w:val="21"/>
                <w:highlight w:val="none"/>
                <w:lang w:eastAsia="zh-CN"/>
              </w:rPr>
              <w:t>被广东省交通运输厅最新年度评为较高信用等级的投标人优先</w:t>
            </w:r>
            <w:r>
              <w:rPr>
                <w:rFonts w:hint="eastAsia" w:ascii="宋体" w:hAnsi="宋体" w:cs="宋体"/>
                <w:bCs/>
                <w:szCs w:val="21"/>
                <w:highlight w:val="none"/>
              </w:rPr>
              <w:t>；</w:t>
            </w:r>
            <w:r>
              <w:rPr>
                <w:rFonts w:hint="eastAsia" w:ascii="宋体" w:hAnsi="宋体" w:cs="宋体"/>
                <w:bCs/>
                <w:szCs w:val="21"/>
                <w:highlight w:val="none"/>
                <w:lang w:eastAsia="zh-CN"/>
              </w:rPr>
              <w:t>【采用如下的优先顺序：承诺使用的</w:t>
            </w:r>
            <w:r>
              <w:rPr>
                <w:rFonts w:hint="eastAsia" w:ascii="宋体" w:hAnsi="宋体" w:cs="宋体"/>
                <w:bCs/>
                <w:szCs w:val="21"/>
                <w:highlight w:val="none"/>
                <w:lang w:val="en-US" w:eastAsia="zh-CN"/>
              </w:rPr>
              <w:t>AA级投标人、不承诺使用的AA级投标人、承诺使用的A级投标人、不承诺使用的A级投标人、B级投标人、未参评且被确定为B级投标人</w:t>
            </w:r>
            <w:r>
              <w:rPr>
                <w:rFonts w:hint="eastAsia" w:ascii="宋体" w:hAnsi="宋体" w:cs="宋体"/>
                <w:bCs/>
                <w:szCs w:val="21"/>
                <w:highlight w:val="none"/>
                <w:lang w:eastAsia="zh-CN"/>
              </w:rPr>
              <w:t>】</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3</w:t>
            </w:r>
            <w:r>
              <w:rPr>
                <w:rFonts w:hint="eastAsia" w:ascii="宋体" w:hAnsi="宋体" w:cs="宋体"/>
                <w:szCs w:val="21"/>
                <w:highlight w:val="none"/>
                <w:lang w:eastAsia="zh-CN"/>
              </w:rPr>
              <w:t>）</w:t>
            </w:r>
            <w:r>
              <w:rPr>
                <w:rFonts w:hint="eastAsia" w:ascii="宋体" w:hAnsi="宋体" w:cs="宋体"/>
                <w:szCs w:val="21"/>
                <w:highlight w:val="none"/>
              </w:rPr>
              <w:t>以投标人企业净资产较高的优先。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85" w:hRule="atLeast"/>
        </w:trPr>
        <w:tc>
          <w:tcPr>
            <w:tcW w:w="743" w:type="dxa"/>
            <w:tcBorders>
              <w:top w:val="single" w:color="auto" w:sz="4" w:space="0"/>
              <w:right w:val="single" w:color="auto" w:sz="4" w:space="0"/>
            </w:tcBorders>
            <w:vAlign w:val="center"/>
          </w:tcPr>
          <w:p>
            <w:pPr>
              <w:spacing w:line="400" w:lineRule="atLeast"/>
              <w:jc w:val="center"/>
              <w:rPr>
                <w:rFonts w:hint="eastAsia" w:ascii="宋体" w:hAnsi="宋体" w:cs="宋体"/>
                <w:szCs w:val="21"/>
                <w:highlight w:val="none"/>
              </w:rPr>
            </w:pPr>
            <w:r>
              <w:rPr>
                <w:rFonts w:hint="eastAsia" w:ascii="宋体" w:hAnsi="宋体" w:cs="宋体"/>
                <w:szCs w:val="21"/>
                <w:highlight w:val="none"/>
              </w:rPr>
              <w:t>2.1.1</w:t>
            </w:r>
          </w:p>
          <w:p>
            <w:pPr>
              <w:spacing w:line="400" w:lineRule="atLeast"/>
              <w:jc w:val="center"/>
              <w:rPr>
                <w:rFonts w:hint="eastAsia" w:ascii="宋体" w:hAnsi="宋体" w:cs="宋体"/>
                <w:highlight w:val="none"/>
              </w:rPr>
            </w:pPr>
            <w:r>
              <w:rPr>
                <w:rFonts w:hint="eastAsia" w:ascii="宋体" w:hAnsi="宋体" w:cs="宋体"/>
                <w:szCs w:val="21"/>
                <w:highlight w:val="none"/>
              </w:rPr>
              <w:t>2.1.3</w:t>
            </w:r>
          </w:p>
        </w:tc>
        <w:tc>
          <w:tcPr>
            <w:tcW w:w="865" w:type="dxa"/>
            <w:tcBorders>
              <w:top w:val="single" w:color="auto" w:sz="4" w:space="0"/>
              <w:right w:val="single" w:color="auto" w:sz="4" w:space="0"/>
            </w:tcBorders>
            <w:vAlign w:val="center"/>
          </w:tcPr>
          <w:p>
            <w:pPr>
              <w:spacing w:line="400" w:lineRule="atLeast"/>
              <w:jc w:val="center"/>
              <w:rPr>
                <w:rFonts w:hint="eastAsia" w:ascii="宋体" w:hAnsi="宋体" w:cs="宋体"/>
                <w:highlight w:val="none"/>
              </w:rPr>
            </w:pPr>
            <w:r>
              <w:rPr>
                <w:rFonts w:hint="eastAsia" w:ascii="宋体" w:hAnsi="宋体" w:cs="宋体"/>
                <w:szCs w:val="21"/>
                <w:highlight w:val="none"/>
              </w:rPr>
              <w:t>形式评审与响应性评审标准</w:t>
            </w:r>
          </w:p>
        </w:tc>
        <w:tc>
          <w:tcPr>
            <w:tcW w:w="749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22" w:firstLineChars="200"/>
              <w:rPr>
                <w:rFonts w:hint="eastAsia" w:ascii="宋体" w:hAnsi="宋体" w:cs="宋体"/>
                <w:b/>
                <w:szCs w:val="21"/>
                <w:highlight w:val="none"/>
              </w:rPr>
            </w:pPr>
            <w:r>
              <w:rPr>
                <w:rFonts w:hint="eastAsia" w:ascii="宋体" w:hAnsi="宋体" w:cs="宋体"/>
                <w:b/>
                <w:szCs w:val="21"/>
                <w:highlight w:val="none"/>
              </w:rPr>
              <w:t>第一个信封（商务及技术文件）评审标准：</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(1)投标文件按照招标文件规定的格式、内容填写，字迹清晰可辨：</w:t>
            </w:r>
          </w:p>
          <w:p>
            <w:pPr>
              <w:spacing w:line="360" w:lineRule="auto"/>
              <w:ind w:firstLine="390"/>
              <w:rPr>
                <w:rFonts w:hint="eastAsia" w:ascii="宋体" w:hAnsi="宋体" w:cs="宋体"/>
                <w:szCs w:val="21"/>
                <w:highlight w:val="none"/>
              </w:rPr>
            </w:pPr>
            <w:r>
              <w:rPr>
                <w:rFonts w:hint="eastAsia" w:ascii="宋体" w:hAnsi="宋体" w:cs="宋体"/>
                <w:szCs w:val="21"/>
                <w:highlight w:val="none"/>
              </w:rPr>
              <w:t>a.投标函按招标文件规定填报了项目名称、补遗书编号（如有）、工期、工程质量要求及安全目标；</w:t>
            </w:r>
          </w:p>
          <w:p>
            <w:pPr>
              <w:spacing w:line="360" w:lineRule="auto"/>
              <w:ind w:firstLine="390"/>
              <w:rPr>
                <w:rFonts w:hint="eastAsia" w:ascii="宋体" w:hAnsi="宋体" w:cs="宋体"/>
                <w:szCs w:val="21"/>
                <w:highlight w:val="none"/>
              </w:rPr>
            </w:pPr>
            <w:r>
              <w:rPr>
                <w:rFonts w:hint="eastAsia" w:ascii="宋体" w:hAnsi="宋体" w:cs="宋体"/>
                <w:szCs w:val="21"/>
                <w:highlight w:val="none"/>
              </w:rPr>
              <w:t>b.投标函附录的所有数据均符合招标文件规定；</w:t>
            </w:r>
          </w:p>
          <w:p>
            <w:pPr>
              <w:spacing w:line="360" w:lineRule="auto"/>
              <w:ind w:firstLine="390"/>
              <w:rPr>
                <w:rFonts w:hint="eastAsia" w:ascii="宋体" w:hAnsi="宋体" w:cs="宋体"/>
                <w:szCs w:val="21"/>
                <w:highlight w:val="none"/>
              </w:rPr>
            </w:pPr>
            <w:r>
              <w:rPr>
                <w:rFonts w:hint="eastAsia" w:ascii="宋体" w:hAnsi="宋体" w:cs="宋体"/>
                <w:szCs w:val="21"/>
                <w:highlight w:val="none"/>
                <w:lang w:val="en-US" w:eastAsia="zh-CN"/>
              </w:rPr>
              <w:t>c</w:t>
            </w:r>
            <w:r>
              <w:rPr>
                <w:rFonts w:hint="eastAsia" w:ascii="宋体" w:hAnsi="宋体" w:cs="宋体"/>
                <w:szCs w:val="21"/>
                <w:highlight w:val="none"/>
              </w:rPr>
              <w:t>.投标文件组成齐全完整，内容均按规定填写。</w:t>
            </w:r>
          </w:p>
          <w:p>
            <w:pPr>
              <w:spacing w:line="360" w:lineRule="auto"/>
              <w:ind w:left="-107" w:leftChars="-51" w:firstLine="420" w:firstLineChars="200"/>
              <w:rPr>
                <w:rFonts w:hint="eastAsia" w:ascii="宋体" w:hAnsi="宋体" w:cs="宋体"/>
                <w:szCs w:val="21"/>
                <w:highlight w:val="none"/>
              </w:rPr>
            </w:pPr>
            <w:r>
              <w:rPr>
                <w:rFonts w:hint="eastAsia" w:ascii="宋体" w:hAnsi="宋体" w:cs="宋体"/>
                <w:szCs w:val="21"/>
                <w:highlight w:val="none"/>
              </w:rPr>
              <w:t>(2)投标文件上法定代表人或其委托代理人的签字、投标人的单位章盖章齐全，符合招标文件投标人须知3.7.3的规定。</w:t>
            </w:r>
          </w:p>
          <w:p>
            <w:pPr>
              <w:spacing w:line="360" w:lineRule="auto"/>
              <w:ind w:firstLine="420" w:firstLineChars="200"/>
              <w:rPr>
                <w:rFonts w:hint="eastAsia" w:ascii="宋体" w:hAnsi="宋体" w:cs="宋体"/>
                <w:szCs w:val="21"/>
                <w:highlight w:val="none"/>
              </w:rPr>
            </w:pPr>
            <w:r>
              <w:rPr>
                <w:rFonts w:hint="eastAsia" w:ascii="宋体" w:hAnsi="宋体" w:cs="宋体"/>
                <w:highlight w:val="none"/>
              </w:rPr>
              <w:t>(3)投标人实质性资格响应：</w:t>
            </w:r>
            <w:r>
              <w:rPr>
                <w:rFonts w:hint="eastAsia" w:ascii="宋体" w:hAnsi="宋体" w:cs="宋体"/>
                <w:szCs w:val="21"/>
                <w:highlight w:val="none"/>
              </w:rPr>
              <w:t xml:space="preserve"> </w:t>
            </w:r>
          </w:p>
          <w:p>
            <w:pPr>
              <w:spacing w:line="360" w:lineRule="auto"/>
              <w:ind w:firstLine="390"/>
              <w:rPr>
                <w:rFonts w:hint="eastAsia" w:ascii="宋体" w:hAnsi="宋体" w:cs="宋体"/>
                <w:szCs w:val="21"/>
                <w:highlight w:val="none"/>
              </w:rPr>
            </w:pPr>
            <w:r>
              <w:rPr>
                <w:rFonts w:hint="eastAsia" w:ascii="宋体" w:hAnsi="宋体" w:cs="宋体"/>
                <w:szCs w:val="21"/>
                <w:highlight w:val="none"/>
              </w:rPr>
              <w:t>a.法人名称变更时，应提供相关部门的合法批件及企业法人营业执照和资质证书的副本变更记录复印件；</w:t>
            </w:r>
          </w:p>
          <w:p>
            <w:pPr>
              <w:spacing w:line="360" w:lineRule="auto"/>
              <w:ind w:firstLine="390"/>
              <w:rPr>
                <w:rFonts w:hint="eastAsia" w:ascii="宋体" w:hAnsi="宋体" w:cs="宋体"/>
                <w:szCs w:val="21"/>
                <w:highlight w:val="none"/>
              </w:rPr>
            </w:pPr>
            <w:r>
              <w:rPr>
                <w:rFonts w:hint="eastAsia" w:ascii="宋体" w:hAnsi="宋体" w:cs="宋体"/>
                <w:szCs w:val="21"/>
                <w:highlight w:val="none"/>
              </w:rPr>
              <w:t>b.</w:t>
            </w:r>
            <w:r>
              <w:rPr>
                <w:rFonts w:hint="eastAsia" w:ascii="宋体" w:hAnsi="宋体" w:cs="宋体"/>
                <w:kern w:val="0"/>
                <w:szCs w:val="21"/>
                <w:highlight w:val="none"/>
              </w:rPr>
              <w:t xml:space="preserve"> 投标人实质性资格满足业绩、财务、人员、材料设备等。具体表现为：</w:t>
            </w:r>
          </w:p>
          <w:p>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--其业绩能力，投标人提供的业绩证明材料真实、完整，且满足本次招标的要求。</w:t>
            </w:r>
          </w:p>
          <w:p>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--其财务能力，投标人提供的财力资源情况（财务报表及相关资金证明材料）真实、完整，且满足本次招标的要求。</w:t>
            </w:r>
          </w:p>
          <w:p>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--投标人拟定的项目经理或项目总工程师在投标文件中明确其资格和资历，且满足本次招标的要求。</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(4)投标人按照招标文件的规定提供了投标保证金：</w:t>
            </w:r>
          </w:p>
          <w:p>
            <w:pPr>
              <w:spacing w:line="360" w:lineRule="auto"/>
              <w:ind w:firstLine="445" w:firstLineChars="212"/>
              <w:rPr>
                <w:rFonts w:hint="eastAsia" w:ascii="宋体" w:hAnsi="宋体" w:cs="宋体"/>
                <w:szCs w:val="21"/>
                <w:highlight w:val="none"/>
              </w:rPr>
            </w:pPr>
            <w:r>
              <w:rPr>
                <w:rFonts w:hint="eastAsia" w:ascii="宋体" w:hAnsi="宋体" w:cs="宋体"/>
                <w:szCs w:val="21"/>
                <w:highlight w:val="none"/>
              </w:rPr>
              <w:t>a.投标保证金金额符合招标文件规定的金额，且投标保证金有效期不少于投标有效期；</w:t>
            </w:r>
          </w:p>
          <w:p>
            <w:pPr>
              <w:spacing w:line="360" w:lineRule="auto"/>
              <w:ind w:firstLine="445" w:firstLineChars="212"/>
              <w:rPr>
                <w:rFonts w:hint="eastAsia" w:ascii="宋体" w:hAnsi="宋体" w:cs="宋体"/>
                <w:szCs w:val="21"/>
                <w:highlight w:val="none"/>
              </w:rPr>
            </w:pPr>
            <w:r>
              <w:rPr>
                <w:rFonts w:hint="eastAsia" w:ascii="宋体" w:hAnsi="宋体" w:cs="宋体"/>
                <w:szCs w:val="21"/>
                <w:highlight w:val="none"/>
              </w:rPr>
              <w:t>b.若投标保证金采用现金或支票形式提交，投标人应在递交投标文件截止时间之前，将投标保证金由投标人的基本账户转入招标人指定账户；</w:t>
            </w:r>
          </w:p>
          <w:p>
            <w:pPr>
              <w:spacing w:line="360" w:lineRule="auto"/>
              <w:ind w:firstLine="447" w:firstLineChars="212"/>
              <w:rPr>
                <w:rFonts w:hint="eastAsia" w:ascii="宋体" w:hAnsi="宋体" w:cs="宋体"/>
                <w:b/>
                <w:bCs/>
                <w:szCs w:val="21"/>
                <w:highlight w:val="none"/>
              </w:rPr>
            </w:pPr>
            <w:r>
              <w:rPr>
                <w:rFonts w:hint="eastAsia" w:ascii="宋体" w:hAnsi="宋体" w:cs="宋体"/>
                <w:b/>
                <w:bCs/>
                <w:szCs w:val="21"/>
                <w:highlight w:val="none"/>
              </w:rPr>
              <w:t>c.若投标保证金采用银行保函形式提交，银行保函的格式、开具保函的银行均满足招标文件的要求，</w:t>
            </w:r>
            <w:r>
              <w:rPr>
                <w:rFonts w:hint="eastAsia" w:ascii="宋体" w:hAnsi="宋体" w:cs="宋体"/>
                <w:b/>
                <w:bCs/>
                <w:szCs w:val="21"/>
                <w:highlight w:val="none"/>
                <w:lang w:eastAsia="zh-CN"/>
              </w:rPr>
              <w:t>银行保函原件在递交投标文件时单独密封递交，其复印件装订在投标文件中</w:t>
            </w:r>
            <w:r>
              <w:rPr>
                <w:rFonts w:hint="eastAsia" w:ascii="宋体" w:hAnsi="宋体" w:cs="宋体"/>
                <w:b/>
                <w:bCs/>
                <w:szCs w:val="21"/>
                <w:highlight w:val="none"/>
              </w:rPr>
              <w:t>。</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(5)投标人法定代表人的授权委托代理人签署投标文件的，需提交授权委托书，且授权人和被授权人均在授权委托书上签名，未使用印章、签名章或其他电子制版签名代替。</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(6)投标人法定代表人亲自签署投标文件的，提供了法定代表人身份证明，且法定代表人在法定代表人身份证明上签名，未使用印章、签名章或其他电子制版签名代替。</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(7)投标人未以联合体形式参与投标；</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(8)投标人未提供招标人不允许的分包计划；</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(9)同一投标人未提交两个以上不同的投标文件，但招标文件要求提交备选投标的除外。</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(10)投标文件中未出现有关投标报价的内容。</w:t>
            </w:r>
          </w:p>
          <w:p>
            <w:pPr>
              <w:spacing w:line="360" w:lineRule="auto"/>
              <w:ind w:firstLine="420" w:firstLineChars="200"/>
              <w:rPr>
                <w:rFonts w:hint="eastAsia" w:ascii="宋体" w:hAnsi="宋体" w:cs="宋体"/>
                <w:highlight w:val="none"/>
              </w:rPr>
            </w:pPr>
            <w:r>
              <w:rPr>
                <w:rFonts w:hint="eastAsia" w:ascii="宋体" w:hAnsi="宋体" w:cs="宋体"/>
                <w:szCs w:val="21"/>
                <w:highlight w:val="none"/>
              </w:rPr>
              <w:t>(11)</w:t>
            </w:r>
            <w:r>
              <w:rPr>
                <w:rFonts w:hint="eastAsia" w:ascii="宋体" w:hAnsi="宋体" w:cs="宋体"/>
                <w:highlight w:val="none"/>
              </w:rPr>
              <w:t>投标文件载明的招标项目完成期限未超过招标文件规定的时限。</w:t>
            </w:r>
          </w:p>
          <w:p>
            <w:pPr>
              <w:spacing w:line="360" w:lineRule="auto"/>
              <w:ind w:firstLine="420" w:firstLineChars="200"/>
              <w:rPr>
                <w:rFonts w:hint="eastAsia" w:ascii="宋体" w:hAnsi="宋体" w:cs="宋体"/>
                <w:highlight w:val="none"/>
              </w:rPr>
            </w:pPr>
            <w:r>
              <w:rPr>
                <w:rFonts w:hint="eastAsia" w:ascii="宋体" w:hAnsi="宋体" w:cs="宋体"/>
                <w:highlight w:val="none"/>
              </w:rPr>
              <w:t>(12)投标文件对招标文件的实质性要求和条件作出响应。</w:t>
            </w:r>
          </w:p>
          <w:p>
            <w:pPr>
              <w:spacing w:line="360" w:lineRule="auto"/>
              <w:ind w:firstLine="420" w:firstLineChars="200"/>
              <w:rPr>
                <w:rFonts w:hint="eastAsia" w:ascii="宋体" w:hAnsi="宋体" w:cs="宋体"/>
                <w:highlight w:val="none"/>
              </w:rPr>
            </w:pPr>
            <w:r>
              <w:rPr>
                <w:rFonts w:hint="eastAsia" w:ascii="宋体" w:hAnsi="宋体" w:cs="宋体"/>
                <w:highlight w:val="none"/>
              </w:rPr>
              <w:t>(13)权利义务符合招标文件规定：</w:t>
            </w:r>
          </w:p>
          <w:p>
            <w:pPr>
              <w:spacing w:line="360" w:lineRule="auto"/>
              <w:ind w:firstLine="420" w:firstLineChars="200"/>
              <w:rPr>
                <w:rFonts w:hint="eastAsia" w:ascii="宋体" w:hAnsi="宋体" w:cs="宋体"/>
                <w:highlight w:val="none"/>
              </w:rPr>
            </w:pPr>
            <w:r>
              <w:rPr>
                <w:rFonts w:hint="eastAsia" w:ascii="宋体" w:hAnsi="宋体" w:cs="宋体"/>
                <w:highlight w:val="none"/>
              </w:rPr>
              <w:t>a.投标人应接受招标文件规定的风险划分原则，未提出新的风险划分办法；</w:t>
            </w:r>
          </w:p>
          <w:p>
            <w:pPr>
              <w:spacing w:line="360" w:lineRule="auto"/>
              <w:ind w:firstLine="420" w:firstLineChars="200"/>
              <w:rPr>
                <w:rFonts w:hint="eastAsia" w:ascii="宋体" w:hAnsi="宋体" w:cs="宋体"/>
                <w:highlight w:val="none"/>
              </w:rPr>
            </w:pPr>
            <w:r>
              <w:rPr>
                <w:rFonts w:hint="eastAsia" w:ascii="宋体" w:hAnsi="宋体" w:cs="宋体"/>
                <w:highlight w:val="none"/>
              </w:rPr>
              <w:t>b.投标人未增加发包人的责任范围，或减少投标人义务；</w:t>
            </w:r>
          </w:p>
          <w:p>
            <w:pPr>
              <w:spacing w:line="360" w:lineRule="auto"/>
              <w:ind w:firstLine="420" w:firstLineChars="200"/>
              <w:rPr>
                <w:rFonts w:hint="eastAsia" w:ascii="宋体" w:hAnsi="宋体" w:cs="宋体"/>
                <w:highlight w:val="none"/>
              </w:rPr>
            </w:pPr>
            <w:r>
              <w:rPr>
                <w:rFonts w:hint="eastAsia" w:ascii="宋体" w:hAnsi="宋体" w:cs="宋体"/>
                <w:highlight w:val="none"/>
              </w:rPr>
              <w:t>c.投标人未提出不同的工程验收、计量、支付办法；</w:t>
            </w:r>
          </w:p>
          <w:p>
            <w:pPr>
              <w:spacing w:line="360" w:lineRule="auto"/>
              <w:ind w:firstLine="420" w:firstLineChars="200"/>
              <w:rPr>
                <w:rFonts w:hint="eastAsia" w:ascii="宋体" w:hAnsi="宋体" w:cs="宋体"/>
                <w:highlight w:val="none"/>
              </w:rPr>
            </w:pPr>
            <w:r>
              <w:rPr>
                <w:rFonts w:hint="eastAsia" w:ascii="宋体" w:hAnsi="宋体" w:cs="宋体"/>
                <w:highlight w:val="none"/>
              </w:rPr>
              <w:t>d.投标人对合同纠纷、事故处理办法未提出异议；</w:t>
            </w:r>
          </w:p>
          <w:p>
            <w:pPr>
              <w:spacing w:line="360" w:lineRule="auto"/>
              <w:ind w:firstLine="420" w:firstLineChars="200"/>
              <w:rPr>
                <w:rFonts w:hint="eastAsia" w:ascii="宋体" w:hAnsi="宋体" w:cs="宋体"/>
                <w:highlight w:val="none"/>
              </w:rPr>
            </w:pPr>
            <w:r>
              <w:rPr>
                <w:rFonts w:hint="eastAsia" w:ascii="宋体" w:hAnsi="宋体" w:cs="宋体"/>
                <w:highlight w:val="none"/>
              </w:rPr>
              <w:t>e.投标人在投标活动中无欺诈行为；</w:t>
            </w:r>
          </w:p>
          <w:p>
            <w:pPr>
              <w:spacing w:line="360" w:lineRule="auto"/>
              <w:ind w:firstLine="420" w:firstLineChars="200"/>
              <w:rPr>
                <w:rFonts w:hint="eastAsia" w:ascii="宋体" w:hAnsi="宋体" w:cs="宋体"/>
                <w:highlight w:val="none"/>
              </w:rPr>
            </w:pPr>
            <w:r>
              <w:rPr>
                <w:rFonts w:hint="eastAsia" w:ascii="宋体" w:hAnsi="宋体" w:cs="宋体"/>
                <w:highlight w:val="none"/>
              </w:rPr>
              <w:t>f.投标人未对合同条款有重要保留。</w:t>
            </w:r>
          </w:p>
          <w:p>
            <w:pPr>
              <w:numPr>
                <w:ilvl w:val="0"/>
                <w:numId w:val="11"/>
              </w:numPr>
              <w:spacing w:line="360" w:lineRule="auto"/>
              <w:ind w:firstLine="420" w:firstLineChars="200"/>
              <w:rPr>
                <w:rFonts w:hint="eastAsia" w:ascii="宋体" w:hAnsi="宋体" w:eastAsia="宋体" w:cs="Times New Roman"/>
                <w:color w:val="auto"/>
                <w:kern w:val="2"/>
                <w:sz w:val="21"/>
                <w:szCs w:val="21"/>
                <w:highlight w:val="none"/>
                <w:lang w:val="en-US"/>
              </w:rPr>
            </w:pPr>
            <w:r>
              <w:rPr>
                <w:rFonts w:hint="eastAsia" w:ascii="宋体" w:hAnsi="宋体" w:cs="宋体"/>
                <w:highlight w:val="none"/>
              </w:rPr>
              <w:t>投标文件正、副本份数符合招标文件第二章“投标人须知”第3.7.4项规定。</w:t>
            </w:r>
          </w:p>
          <w:p>
            <w:pPr>
              <w:numPr>
                <w:ilvl w:val="0"/>
                <w:numId w:val="11"/>
              </w:numPr>
              <w:spacing w:line="360" w:lineRule="auto"/>
              <w:ind w:firstLine="420" w:firstLineChars="200"/>
              <w:rPr>
                <w:rFonts w:hint="eastAsia" w:ascii="宋体" w:hAnsi="宋体" w:eastAsia="宋体" w:cs="Times New Roman"/>
                <w:color w:val="auto"/>
                <w:kern w:val="2"/>
                <w:sz w:val="21"/>
                <w:szCs w:val="21"/>
                <w:highlight w:val="none"/>
                <w:lang w:val="en-US"/>
              </w:rPr>
            </w:pPr>
            <w:r>
              <w:rPr>
                <w:rFonts w:hint="eastAsia" w:ascii="宋体" w:hAnsi="宋体" w:eastAsia="宋体" w:cs="Times New Roman"/>
                <w:color w:val="auto"/>
                <w:kern w:val="2"/>
                <w:sz w:val="21"/>
                <w:szCs w:val="21"/>
                <w:highlight w:val="none"/>
                <w:lang w:val="en-US" w:eastAsia="zh-CN"/>
              </w:rPr>
              <w:t>投标文件未附有招标人不能接受的条件。</w:t>
            </w:r>
          </w:p>
          <w:p>
            <w:pPr>
              <w:spacing w:line="360" w:lineRule="auto"/>
              <w:ind w:firstLine="422" w:firstLineChars="200"/>
              <w:jc w:val="left"/>
              <w:rPr>
                <w:rFonts w:hint="eastAsia" w:ascii="宋体" w:hAnsi="宋体" w:cs="宋体"/>
                <w:b/>
                <w:szCs w:val="21"/>
                <w:highlight w:val="none"/>
              </w:rPr>
            </w:pPr>
          </w:p>
          <w:p>
            <w:pPr>
              <w:spacing w:line="360" w:lineRule="auto"/>
              <w:ind w:firstLine="422" w:firstLineChars="200"/>
              <w:jc w:val="left"/>
              <w:rPr>
                <w:rFonts w:hint="eastAsia" w:ascii="宋体" w:hAnsi="宋体" w:cs="宋体"/>
                <w:b/>
                <w:szCs w:val="21"/>
                <w:highlight w:val="none"/>
              </w:rPr>
            </w:pPr>
          </w:p>
          <w:p>
            <w:pPr>
              <w:spacing w:line="360" w:lineRule="auto"/>
              <w:ind w:firstLine="422" w:firstLineChars="200"/>
              <w:jc w:val="left"/>
              <w:rPr>
                <w:rFonts w:hint="eastAsia" w:ascii="宋体" w:hAnsi="宋体" w:cs="宋体"/>
                <w:b/>
                <w:szCs w:val="21"/>
                <w:highlight w:val="none"/>
              </w:rPr>
            </w:pPr>
            <w:r>
              <w:rPr>
                <w:rFonts w:hint="eastAsia" w:ascii="宋体" w:hAnsi="宋体" w:cs="宋体"/>
                <w:b/>
                <w:szCs w:val="21"/>
                <w:highlight w:val="none"/>
              </w:rPr>
              <w:t>第二信封（报价文件）评审标准：</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(1)投标文件按照招标文件规定的格式、内容填写，字迹清晰可辨：</w:t>
            </w:r>
          </w:p>
          <w:p>
            <w:pPr>
              <w:spacing w:line="360" w:lineRule="auto"/>
              <w:ind w:firstLine="390"/>
              <w:rPr>
                <w:rFonts w:hint="eastAsia" w:ascii="宋体" w:hAnsi="宋体" w:cs="宋体"/>
                <w:szCs w:val="21"/>
                <w:highlight w:val="none"/>
              </w:rPr>
            </w:pPr>
            <w:r>
              <w:rPr>
                <w:rFonts w:hint="eastAsia" w:ascii="宋体" w:hAnsi="宋体" w:cs="宋体"/>
                <w:szCs w:val="21"/>
                <w:highlight w:val="none"/>
              </w:rPr>
              <w:t>a.投标函按招标文件规定填报了项目名称、补遗书编号（如有）、投标报价（包括大写金额和小写金额）；</w:t>
            </w:r>
          </w:p>
          <w:p>
            <w:pPr>
              <w:spacing w:line="360" w:lineRule="auto"/>
              <w:ind w:firstLine="390"/>
              <w:rPr>
                <w:rFonts w:hint="eastAsia" w:ascii="宋体" w:hAnsi="宋体" w:cs="宋体"/>
                <w:szCs w:val="21"/>
                <w:highlight w:val="none"/>
              </w:rPr>
            </w:pPr>
            <w:r>
              <w:rPr>
                <w:rFonts w:hint="eastAsia" w:ascii="宋体" w:hAnsi="宋体" w:cs="宋体"/>
                <w:szCs w:val="21"/>
                <w:highlight w:val="none"/>
              </w:rPr>
              <w:t>b.已标价工程量清单说明文字与招标文件规定一致，未进行实质性修改和删减；</w:t>
            </w:r>
          </w:p>
          <w:p>
            <w:pPr>
              <w:spacing w:line="360" w:lineRule="auto"/>
              <w:ind w:firstLine="390"/>
              <w:rPr>
                <w:rFonts w:hint="eastAsia" w:ascii="宋体" w:hAnsi="宋体" w:cs="宋体"/>
                <w:szCs w:val="21"/>
                <w:highlight w:val="none"/>
              </w:rPr>
            </w:pPr>
            <w:r>
              <w:rPr>
                <w:rFonts w:hint="eastAsia" w:ascii="宋体" w:hAnsi="宋体" w:cs="宋体"/>
                <w:szCs w:val="21"/>
                <w:highlight w:val="none"/>
              </w:rPr>
              <w:t>c.投标文件（第二信封）组成齐全完整，内容均按规定填写。</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(2)投标文件上法定代表人或其委托代理人的签字、投标人的单位章盖章齐全，符合招标文件投标人须知3.7.3的规定；</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(3)投标报价或调价函中报价未超过招标文件设定的</w:t>
            </w:r>
            <w:r>
              <w:rPr>
                <w:rFonts w:hint="eastAsia" w:ascii="宋体" w:hAnsi="宋体" w:cs="宋体"/>
                <w:szCs w:val="21"/>
                <w:highlight w:val="none"/>
                <w:lang w:eastAsia="zh-CN"/>
              </w:rPr>
              <w:t>最高投标限价</w:t>
            </w:r>
            <w:r>
              <w:rPr>
                <w:rFonts w:hint="eastAsia" w:ascii="宋体" w:hAnsi="宋体" w:cs="宋体"/>
                <w:szCs w:val="21"/>
                <w:highlight w:val="none"/>
              </w:rPr>
              <w:t>。</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(4)投标报价中报价的大写金额能够确定具体数值。</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(5)同一投标人未提交两个以上不同的投标报价，但招标文件要求提交备选投标的除外。</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(6)投标人未提交调价函。</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(7)投标人若填写工程量固化清单，填写完毕的工程量固化清单未对工程量固化清单电子文件中的数据、格式和运算定义进行修改；工程量固化清单中的投标报价和投标函大写金额报价一致。</w:t>
            </w:r>
          </w:p>
          <w:p>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(8)投标文件正、副本份数符合招标文件第二章“投标人须知”第3.7.4项规定。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43" w:type="dxa"/>
            <w:tcBorders>
              <w:top w:val="single" w:color="auto" w:sz="4" w:space="0"/>
              <w:bottom w:val="single" w:color="auto" w:sz="4" w:space="0"/>
              <w:right w:val="single" w:color="auto" w:sz="4" w:space="0"/>
            </w:tcBorders>
            <w:vAlign w:val="center"/>
          </w:tcPr>
          <w:p>
            <w:pPr>
              <w:spacing w:line="400" w:lineRule="atLeast"/>
              <w:jc w:val="center"/>
              <w:rPr>
                <w:rFonts w:hint="eastAsia" w:ascii="宋体" w:hAnsi="宋体" w:cs="宋体"/>
                <w:szCs w:val="21"/>
                <w:highlight w:val="none"/>
              </w:rPr>
            </w:pPr>
            <w:r>
              <w:rPr>
                <w:rFonts w:hint="eastAsia" w:ascii="宋体" w:hAnsi="宋体" w:cs="宋体"/>
                <w:szCs w:val="21"/>
                <w:highlight w:val="none"/>
              </w:rPr>
              <w:t>2.1.2</w:t>
            </w:r>
          </w:p>
        </w:tc>
        <w:tc>
          <w:tcPr>
            <w:tcW w:w="865" w:type="dxa"/>
            <w:tcBorders>
              <w:top w:val="single" w:color="auto" w:sz="4" w:space="0"/>
              <w:bottom w:val="single" w:color="auto" w:sz="4" w:space="0"/>
              <w:right w:val="single" w:color="auto" w:sz="4" w:space="0"/>
            </w:tcBorders>
            <w:vAlign w:val="center"/>
          </w:tcPr>
          <w:p>
            <w:pPr>
              <w:spacing w:line="400" w:lineRule="atLeast"/>
              <w:jc w:val="center"/>
              <w:rPr>
                <w:rFonts w:hint="eastAsia" w:ascii="宋体" w:hAnsi="宋体" w:cs="宋体"/>
                <w:szCs w:val="21"/>
                <w:highlight w:val="none"/>
              </w:rPr>
            </w:pPr>
            <w:r>
              <w:rPr>
                <w:rFonts w:hint="eastAsia" w:ascii="宋体" w:hAnsi="宋体" w:cs="宋体"/>
                <w:szCs w:val="21"/>
                <w:highlight w:val="none"/>
              </w:rPr>
              <w:t>资格评审标准</w:t>
            </w:r>
          </w:p>
        </w:tc>
        <w:tc>
          <w:tcPr>
            <w:tcW w:w="749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hint="eastAsia" w:ascii="宋体" w:hAnsi="宋体" w:cs="宋体"/>
                <w:highlight w:val="none"/>
              </w:rPr>
            </w:pPr>
            <w:bookmarkStart w:id="2" w:name="_Toc19703"/>
            <w:r>
              <w:rPr>
                <w:rFonts w:hint="eastAsia" w:ascii="宋体" w:hAnsi="宋体" w:cs="宋体"/>
                <w:highlight w:val="none"/>
              </w:rPr>
              <w:t>(1)投标人具备有效的营业执照、组织机构代码证</w:t>
            </w:r>
            <w:r>
              <w:rPr>
                <w:rFonts w:hint="eastAsia" w:ascii="宋体" w:hAnsi="宋体" w:cs="宋体"/>
                <w:highlight w:val="none"/>
                <w:lang w:eastAsia="zh-CN"/>
              </w:rPr>
              <w:t>（如有）</w:t>
            </w:r>
            <w:r>
              <w:rPr>
                <w:rFonts w:hint="eastAsia" w:ascii="宋体" w:hAnsi="宋体" w:cs="宋体"/>
                <w:highlight w:val="none"/>
              </w:rPr>
              <w:t>、资质证书、安全生产许可证和基本账户开户许可证等；</w:t>
            </w:r>
            <w:bookmarkEnd w:id="2"/>
            <w:r>
              <w:rPr>
                <w:rFonts w:hint="eastAsia" w:ascii="宋体" w:hAnsi="宋体" w:cs="宋体"/>
                <w:highlight w:val="none"/>
              </w:rPr>
              <w:t xml:space="preserve"> </w:t>
            </w:r>
          </w:p>
          <w:p>
            <w:pPr>
              <w:spacing w:line="360" w:lineRule="auto"/>
              <w:ind w:firstLine="420" w:firstLineChars="200"/>
              <w:rPr>
                <w:rFonts w:hint="eastAsia" w:ascii="宋体" w:hAnsi="宋体" w:cs="宋体"/>
                <w:highlight w:val="none"/>
              </w:rPr>
            </w:pPr>
            <w:bookmarkStart w:id="3" w:name="_Toc392141158"/>
            <w:bookmarkStart w:id="4" w:name="_Toc351708307"/>
            <w:bookmarkStart w:id="5" w:name="_Toc15961"/>
            <w:bookmarkStart w:id="6" w:name="_Toc351707708"/>
            <w:bookmarkStart w:id="7" w:name="_Toc398644462"/>
            <w:bookmarkStart w:id="8" w:name="_Toc385929155"/>
            <w:r>
              <w:rPr>
                <w:rFonts w:hint="eastAsia" w:ascii="宋体" w:hAnsi="宋体" w:cs="宋体"/>
                <w:highlight w:val="none"/>
              </w:rPr>
              <w:t>(2)投标人的资质等级符合招标文件规定；</w:t>
            </w:r>
            <w:bookmarkEnd w:id="3"/>
            <w:bookmarkEnd w:id="4"/>
            <w:bookmarkEnd w:id="5"/>
            <w:bookmarkEnd w:id="6"/>
            <w:bookmarkEnd w:id="7"/>
            <w:bookmarkEnd w:id="8"/>
            <w:r>
              <w:rPr>
                <w:rFonts w:hint="eastAsia" w:ascii="宋体" w:hAnsi="宋体" w:cs="宋体"/>
                <w:highlight w:val="none"/>
              </w:rPr>
              <w:t xml:space="preserve"> </w:t>
            </w:r>
          </w:p>
          <w:p>
            <w:pPr>
              <w:spacing w:line="360" w:lineRule="auto"/>
              <w:ind w:firstLine="420" w:firstLineChars="200"/>
              <w:rPr>
                <w:rFonts w:hint="eastAsia" w:ascii="宋体" w:hAnsi="宋体" w:cs="宋体"/>
                <w:highlight w:val="none"/>
              </w:rPr>
            </w:pPr>
            <w:bookmarkStart w:id="9" w:name="_Toc351708308"/>
            <w:bookmarkStart w:id="10" w:name="_Toc351707709"/>
            <w:bookmarkStart w:id="11" w:name="_Toc392141159"/>
            <w:bookmarkStart w:id="12" w:name="_Toc22959"/>
            <w:bookmarkStart w:id="13" w:name="_Toc398644463"/>
            <w:bookmarkStart w:id="14" w:name="_Toc385929156"/>
            <w:r>
              <w:rPr>
                <w:rFonts w:hint="eastAsia" w:ascii="宋体" w:hAnsi="宋体" w:cs="宋体"/>
                <w:highlight w:val="none"/>
              </w:rPr>
              <w:t>(3)投标人的财务状况符合招标文件规定；</w:t>
            </w:r>
            <w:bookmarkEnd w:id="9"/>
            <w:bookmarkEnd w:id="10"/>
            <w:bookmarkEnd w:id="11"/>
            <w:bookmarkEnd w:id="12"/>
            <w:bookmarkEnd w:id="13"/>
            <w:bookmarkEnd w:id="14"/>
            <w:r>
              <w:rPr>
                <w:rFonts w:hint="eastAsia" w:ascii="宋体" w:hAnsi="宋体" w:cs="宋体"/>
                <w:highlight w:val="none"/>
              </w:rPr>
              <w:t xml:space="preserve"> </w:t>
            </w:r>
          </w:p>
          <w:p>
            <w:pPr>
              <w:spacing w:line="360" w:lineRule="auto"/>
              <w:ind w:firstLine="420" w:firstLineChars="200"/>
              <w:rPr>
                <w:rFonts w:hint="eastAsia" w:ascii="宋体" w:hAnsi="宋体" w:cs="宋体"/>
                <w:highlight w:val="none"/>
              </w:rPr>
            </w:pPr>
            <w:bookmarkStart w:id="15" w:name="_Toc392141160"/>
            <w:bookmarkStart w:id="16" w:name="_Toc19886"/>
            <w:bookmarkStart w:id="17" w:name="_Toc351707710"/>
            <w:bookmarkStart w:id="18" w:name="_Toc398644464"/>
            <w:bookmarkStart w:id="19" w:name="_Toc351708309"/>
            <w:bookmarkStart w:id="20" w:name="_Toc385929157"/>
            <w:r>
              <w:rPr>
                <w:rFonts w:hint="eastAsia" w:ascii="宋体" w:hAnsi="宋体" w:cs="宋体"/>
                <w:highlight w:val="none"/>
              </w:rPr>
              <w:t>(4)投标人的类似项目业绩符合招标文件规定；</w:t>
            </w:r>
            <w:bookmarkEnd w:id="15"/>
            <w:bookmarkEnd w:id="16"/>
            <w:bookmarkEnd w:id="17"/>
            <w:bookmarkEnd w:id="18"/>
            <w:bookmarkEnd w:id="19"/>
            <w:bookmarkEnd w:id="20"/>
            <w:r>
              <w:rPr>
                <w:rFonts w:hint="eastAsia" w:ascii="宋体" w:hAnsi="宋体" w:cs="宋体"/>
                <w:highlight w:val="none"/>
              </w:rPr>
              <w:t xml:space="preserve"> </w:t>
            </w:r>
          </w:p>
          <w:p>
            <w:pPr>
              <w:spacing w:line="360" w:lineRule="auto"/>
              <w:ind w:firstLine="420" w:firstLineChars="200"/>
              <w:rPr>
                <w:rFonts w:hint="eastAsia" w:ascii="宋体" w:hAnsi="宋体" w:cs="宋体"/>
                <w:highlight w:val="none"/>
              </w:rPr>
            </w:pPr>
            <w:bookmarkStart w:id="21" w:name="_Toc392141161"/>
            <w:bookmarkStart w:id="22" w:name="_Toc385929158"/>
            <w:bookmarkStart w:id="23" w:name="_Toc8797"/>
            <w:bookmarkStart w:id="24" w:name="_Toc351707711"/>
            <w:bookmarkStart w:id="25" w:name="_Toc351708310"/>
            <w:bookmarkStart w:id="26" w:name="_Toc398644465"/>
            <w:r>
              <w:rPr>
                <w:rFonts w:hint="eastAsia" w:ascii="宋体" w:hAnsi="宋体" w:cs="宋体"/>
                <w:highlight w:val="none"/>
              </w:rPr>
              <w:t>(5)投标人的信誉符合招标文件规定；</w:t>
            </w:r>
            <w:bookmarkEnd w:id="21"/>
            <w:bookmarkEnd w:id="22"/>
            <w:bookmarkEnd w:id="23"/>
            <w:bookmarkEnd w:id="24"/>
            <w:bookmarkEnd w:id="25"/>
            <w:bookmarkEnd w:id="26"/>
            <w:r>
              <w:rPr>
                <w:rFonts w:hint="eastAsia" w:ascii="宋体" w:hAnsi="宋体" w:cs="宋体"/>
                <w:highlight w:val="none"/>
              </w:rPr>
              <w:t xml:space="preserve"> </w:t>
            </w:r>
          </w:p>
          <w:p>
            <w:pPr>
              <w:spacing w:line="360" w:lineRule="auto"/>
              <w:ind w:firstLine="420" w:firstLineChars="200"/>
              <w:rPr>
                <w:rFonts w:hint="eastAsia" w:ascii="宋体" w:hAnsi="宋体" w:cs="宋体"/>
                <w:highlight w:val="none"/>
              </w:rPr>
            </w:pPr>
            <w:bookmarkStart w:id="27" w:name="_Toc351708311"/>
            <w:bookmarkStart w:id="28" w:name="_Toc19001"/>
            <w:bookmarkStart w:id="29" w:name="_Toc398644466"/>
            <w:bookmarkStart w:id="30" w:name="_Toc392141162"/>
            <w:bookmarkStart w:id="31" w:name="_Toc351707712"/>
            <w:bookmarkStart w:id="32" w:name="_Toc385929159"/>
            <w:r>
              <w:rPr>
                <w:rFonts w:hint="eastAsia" w:ascii="宋体" w:hAnsi="宋体" w:cs="宋体"/>
                <w:highlight w:val="none"/>
              </w:rPr>
              <w:t>(6)投标人的项目经理和项目总工资格、在岗情况符合招标文件规定；</w:t>
            </w:r>
            <w:bookmarkEnd w:id="27"/>
            <w:bookmarkEnd w:id="28"/>
            <w:bookmarkEnd w:id="29"/>
            <w:bookmarkEnd w:id="30"/>
            <w:bookmarkEnd w:id="31"/>
            <w:bookmarkEnd w:id="32"/>
          </w:p>
          <w:p>
            <w:pPr>
              <w:spacing w:line="360" w:lineRule="auto"/>
              <w:ind w:firstLine="420" w:firstLineChars="200"/>
              <w:rPr>
                <w:rFonts w:hint="eastAsia" w:ascii="宋体" w:hAnsi="宋体" w:cs="宋体"/>
                <w:highlight w:val="none"/>
              </w:rPr>
            </w:pPr>
            <w:bookmarkStart w:id="33" w:name="_Toc398644467"/>
            <w:bookmarkStart w:id="34" w:name="_Toc31005"/>
            <w:bookmarkStart w:id="35" w:name="_Toc385929160"/>
            <w:bookmarkStart w:id="36" w:name="_Toc351707713"/>
            <w:bookmarkStart w:id="37" w:name="_Toc392141163"/>
            <w:bookmarkStart w:id="38" w:name="_Toc351708312"/>
            <w:r>
              <w:rPr>
                <w:rFonts w:hint="eastAsia" w:ascii="宋体" w:hAnsi="宋体" w:cs="宋体"/>
                <w:highlight w:val="none"/>
              </w:rPr>
              <w:t>(7)投标人的其他要求符合招标文件规定；</w:t>
            </w:r>
            <w:bookmarkEnd w:id="33"/>
            <w:bookmarkEnd w:id="34"/>
            <w:bookmarkEnd w:id="35"/>
            <w:bookmarkEnd w:id="36"/>
            <w:bookmarkEnd w:id="37"/>
            <w:bookmarkEnd w:id="38"/>
          </w:p>
          <w:p>
            <w:pPr>
              <w:spacing w:line="360" w:lineRule="auto"/>
              <w:ind w:firstLine="420" w:firstLineChars="200"/>
              <w:rPr>
                <w:rFonts w:hint="eastAsia" w:ascii="宋体" w:hAnsi="宋体" w:cs="宋体"/>
                <w:highlight w:val="none"/>
              </w:rPr>
            </w:pPr>
            <w:bookmarkStart w:id="39" w:name="_Toc351708313"/>
            <w:bookmarkStart w:id="40" w:name="_Toc392141164"/>
            <w:bookmarkStart w:id="41" w:name="_Toc351707714"/>
            <w:bookmarkStart w:id="42" w:name="_Toc398644468"/>
            <w:bookmarkStart w:id="43" w:name="_Toc385929161"/>
            <w:bookmarkStart w:id="44" w:name="_Toc28795"/>
            <w:r>
              <w:rPr>
                <w:rFonts w:hint="eastAsia" w:ascii="宋体" w:hAnsi="宋体" w:cs="宋体"/>
                <w:highlight w:val="none"/>
              </w:rPr>
              <w:t>(8)投标人不存在第二章“投标人须知” 第1.4.3项或第1.4.4项规定的任何一种情形</w:t>
            </w:r>
            <w:bookmarkEnd w:id="39"/>
            <w:bookmarkEnd w:id="40"/>
            <w:bookmarkEnd w:id="41"/>
            <w:bookmarkEnd w:id="42"/>
            <w:bookmarkEnd w:id="43"/>
            <w:r>
              <w:rPr>
                <w:rFonts w:hint="eastAsia" w:ascii="宋体" w:hAnsi="宋体" w:cs="宋体"/>
                <w:highlight w:val="none"/>
              </w:rPr>
              <w:t>；</w:t>
            </w:r>
            <w:bookmarkEnd w:id="44"/>
            <w:r>
              <w:rPr>
                <w:rFonts w:hint="eastAsia" w:ascii="宋体" w:hAnsi="宋体" w:cs="宋体"/>
                <w:highlight w:val="none"/>
              </w:rPr>
              <w:t xml:space="preserve"> </w:t>
            </w:r>
          </w:p>
          <w:p>
            <w:pPr>
              <w:spacing w:line="360" w:lineRule="auto"/>
              <w:ind w:firstLine="420" w:firstLineChars="200"/>
              <w:rPr>
                <w:rFonts w:hint="eastAsia" w:ascii="宋体" w:hAnsi="宋体" w:cs="宋体"/>
                <w:szCs w:val="21"/>
                <w:highlight w:val="none"/>
              </w:rPr>
            </w:pPr>
            <w:bookmarkStart w:id="45" w:name="_Toc22513"/>
            <w:r>
              <w:rPr>
                <w:rFonts w:hint="eastAsia" w:ascii="宋体" w:hAnsi="宋体" w:cs="宋体"/>
                <w:highlight w:val="none"/>
              </w:rPr>
              <w:t>(9)投标人未以联合体形式参与投标。</w:t>
            </w:r>
            <w:bookmarkEnd w:id="45"/>
          </w:p>
        </w:tc>
      </w:tr>
    </w:tbl>
    <w:p>
      <w:pPr>
        <w:rPr>
          <w:highlight w:val="none"/>
        </w:rPr>
      </w:pPr>
    </w:p>
    <w:tbl>
      <w:tblPr>
        <w:tblStyle w:val="5"/>
        <w:tblW w:w="9480" w:type="dxa"/>
        <w:tblInd w:w="-3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99"/>
        <w:gridCol w:w="97"/>
        <w:gridCol w:w="1101"/>
        <w:gridCol w:w="384"/>
        <w:gridCol w:w="895"/>
        <w:gridCol w:w="5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1515" w:type="dxa"/>
            <w:gridSpan w:val="3"/>
            <w:vAlign w:val="center"/>
          </w:tcPr>
          <w:p>
            <w:pPr>
              <w:spacing w:line="400" w:lineRule="atLeast"/>
              <w:jc w:val="center"/>
              <w:rPr>
                <w:rFonts w:hint="eastAsia" w:ascii="宋体" w:hAnsi="宋体" w:cs="宋体"/>
                <w:b/>
                <w:szCs w:val="21"/>
                <w:highlight w:val="none"/>
              </w:rPr>
            </w:pPr>
            <w:r>
              <w:rPr>
                <w:rFonts w:hint="eastAsia" w:ascii="宋体" w:hAnsi="宋体" w:cs="宋体"/>
                <w:b/>
                <w:szCs w:val="21"/>
                <w:highlight w:val="none"/>
              </w:rPr>
              <w:t>条款号</w:t>
            </w:r>
          </w:p>
        </w:tc>
        <w:tc>
          <w:tcPr>
            <w:tcW w:w="1485" w:type="dxa"/>
            <w:gridSpan w:val="2"/>
            <w:vAlign w:val="center"/>
          </w:tcPr>
          <w:p>
            <w:pPr>
              <w:spacing w:line="400" w:lineRule="atLeast"/>
              <w:jc w:val="center"/>
              <w:rPr>
                <w:rFonts w:hint="eastAsia" w:ascii="宋体" w:hAnsi="宋体" w:cs="宋体"/>
                <w:b/>
                <w:szCs w:val="21"/>
                <w:highlight w:val="none"/>
              </w:rPr>
            </w:pPr>
            <w:r>
              <w:rPr>
                <w:rFonts w:hint="eastAsia" w:ascii="宋体" w:hAnsi="宋体" w:cs="宋体"/>
                <w:b/>
                <w:szCs w:val="21"/>
                <w:highlight w:val="none"/>
              </w:rPr>
              <w:t>条款内容</w:t>
            </w:r>
          </w:p>
        </w:tc>
        <w:tc>
          <w:tcPr>
            <w:tcW w:w="6480" w:type="dxa"/>
            <w:gridSpan w:val="2"/>
            <w:vAlign w:val="center"/>
          </w:tcPr>
          <w:p>
            <w:pPr>
              <w:spacing w:line="400" w:lineRule="atLeast"/>
              <w:jc w:val="center"/>
              <w:rPr>
                <w:rFonts w:hint="eastAsia" w:ascii="宋体" w:hAnsi="宋体" w:cs="宋体"/>
                <w:b/>
                <w:szCs w:val="21"/>
                <w:highlight w:val="none"/>
              </w:rPr>
            </w:pPr>
            <w:r>
              <w:rPr>
                <w:rFonts w:hint="eastAsia" w:ascii="宋体" w:hAnsi="宋体" w:cs="宋体"/>
                <w:b/>
                <w:szCs w:val="21"/>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515" w:type="dxa"/>
            <w:gridSpan w:val="3"/>
            <w:vAlign w:val="center"/>
          </w:tcPr>
          <w:p>
            <w:pPr>
              <w:spacing w:line="360" w:lineRule="atLeast"/>
              <w:jc w:val="center"/>
              <w:rPr>
                <w:rFonts w:hint="eastAsia" w:ascii="宋体" w:hAnsi="宋体" w:cs="宋体"/>
                <w:szCs w:val="21"/>
                <w:highlight w:val="none"/>
              </w:rPr>
            </w:pPr>
            <w:r>
              <w:rPr>
                <w:rFonts w:hint="eastAsia" w:ascii="宋体" w:hAnsi="宋体" w:cs="宋体"/>
                <w:szCs w:val="21"/>
                <w:highlight w:val="none"/>
              </w:rPr>
              <w:t>2.2.1</w:t>
            </w:r>
          </w:p>
        </w:tc>
        <w:tc>
          <w:tcPr>
            <w:tcW w:w="1485" w:type="dxa"/>
            <w:gridSpan w:val="2"/>
            <w:vAlign w:val="center"/>
          </w:tcPr>
          <w:p>
            <w:pPr>
              <w:spacing w:line="360" w:lineRule="atLeast"/>
              <w:jc w:val="center"/>
              <w:rPr>
                <w:rFonts w:hint="eastAsia" w:ascii="宋体" w:hAnsi="宋体" w:cs="宋体"/>
                <w:b/>
                <w:szCs w:val="21"/>
                <w:highlight w:val="none"/>
              </w:rPr>
            </w:pPr>
            <w:r>
              <w:rPr>
                <w:rFonts w:hint="eastAsia" w:ascii="宋体" w:hAnsi="宋体" w:cs="宋体"/>
                <w:szCs w:val="21"/>
                <w:highlight w:val="none"/>
              </w:rPr>
              <w:t>分值构成（总分100分）</w:t>
            </w:r>
          </w:p>
        </w:tc>
        <w:tc>
          <w:tcPr>
            <w:tcW w:w="6480" w:type="dxa"/>
            <w:gridSpan w:val="2"/>
            <w:vAlign w:val="center"/>
          </w:tcPr>
          <w:p>
            <w:pPr>
              <w:spacing w:line="360" w:lineRule="exact"/>
              <w:rPr>
                <w:rFonts w:hint="eastAsia" w:ascii="宋体" w:hAnsi="宋体" w:cs="宋体"/>
                <w:b/>
                <w:kern w:val="0"/>
                <w:szCs w:val="21"/>
                <w:highlight w:val="none"/>
                <w:lang w:val="en-US" w:eastAsia="zh-CN"/>
              </w:rPr>
            </w:pPr>
            <w:r>
              <w:rPr>
                <w:rFonts w:hint="eastAsia" w:ascii="宋体" w:hAnsi="宋体" w:cs="宋体"/>
                <w:b/>
                <w:kern w:val="0"/>
                <w:szCs w:val="21"/>
                <w:highlight w:val="none"/>
                <w:lang w:eastAsia="zh-CN"/>
              </w:rPr>
              <w:t>评标价：</w:t>
            </w:r>
            <w:r>
              <w:rPr>
                <w:rFonts w:hint="eastAsia" w:ascii="宋体" w:hAnsi="宋体" w:cs="宋体"/>
                <w:b/>
                <w:kern w:val="0"/>
                <w:szCs w:val="21"/>
                <w:highlight w:val="none"/>
                <w:lang w:val="en-US" w:eastAsia="zh-CN"/>
              </w:rPr>
              <w:t>95分</w:t>
            </w:r>
          </w:p>
          <w:p>
            <w:pPr>
              <w:spacing w:line="360" w:lineRule="exact"/>
              <w:rPr>
                <w:rFonts w:hint="eastAsia" w:ascii="宋体" w:hAnsi="宋体" w:cs="宋体"/>
                <w:b/>
                <w:kern w:val="0"/>
                <w:szCs w:val="21"/>
                <w:highlight w:val="none"/>
                <w:lang w:val="en-US" w:eastAsia="zh-CN"/>
              </w:rPr>
            </w:pPr>
            <w:r>
              <w:rPr>
                <w:rFonts w:hint="eastAsia" w:ascii="宋体" w:hAnsi="宋体" w:cs="宋体"/>
                <w:b/>
                <w:kern w:val="0"/>
                <w:szCs w:val="21"/>
                <w:highlight w:val="none"/>
                <w:lang w:val="en-US" w:eastAsia="zh-CN"/>
              </w:rPr>
              <w:t>其它因素：5分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515" w:type="dxa"/>
            <w:gridSpan w:val="3"/>
            <w:vAlign w:val="center"/>
          </w:tcPr>
          <w:p>
            <w:pPr>
              <w:spacing w:line="360" w:lineRule="atLeast"/>
              <w:jc w:val="center"/>
              <w:rPr>
                <w:rFonts w:hint="eastAsia" w:ascii="宋体" w:hAnsi="宋体" w:cs="宋体"/>
                <w:szCs w:val="21"/>
                <w:highlight w:val="none"/>
              </w:rPr>
            </w:pPr>
            <w:r>
              <w:rPr>
                <w:rFonts w:hint="eastAsia" w:ascii="宋体" w:hAnsi="宋体" w:cs="宋体"/>
                <w:szCs w:val="21"/>
                <w:highlight w:val="none"/>
              </w:rPr>
              <w:t>2.2.2</w:t>
            </w:r>
          </w:p>
        </w:tc>
        <w:tc>
          <w:tcPr>
            <w:tcW w:w="1485" w:type="dxa"/>
            <w:gridSpan w:val="2"/>
            <w:vAlign w:val="center"/>
          </w:tcPr>
          <w:p>
            <w:pPr>
              <w:spacing w:line="360" w:lineRule="atLeast"/>
              <w:jc w:val="center"/>
              <w:rPr>
                <w:rFonts w:hint="eastAsia" w:ascii="宋体" w:hAnsi="宋体" w:cs="宋体"/>
                <w:szCs w:val="21"/>
                <w:highlight w:val="none"/>
              </w:rPr>
            </w:pPr>
            <w:r>
              <w:rPr>
                <w:rFonts w:hint="eastAsia" w:ascii="宋体" w:hAnsi="宋体" w:cs="宋体"/>
                <w:szCs w:val="21"/>
                <w:highlight w:val="none"/>
              </w:rPr>
              <w:t>评标基准价计算方法</w:t>
            </w:r>
          </w:p>
        </w:tc>
        <w:tc>
          <w:tcPr>
            <w:tcW w:w="6480" w:type="dxa"/>
            <w:gridSpan w:val="2"/>
            <w:vAlign w:val="center"/>
          </w:tcPr>
          <w:p>
            <w:pPr>
              <w:spacing w:line="360" w:lineRule="auto"/>
              <w:rPr>
                <w:rFonts w:hint="eastAsia" w:ascii="宋体" w:hAnsi="宋体" w:cs="宋体"/>
                <w:b/>
                <w:szCs w:val="21"/>
                <w:highlight w:val="none"/>
              </w:rPr>
            </w:pPr>
            <w:r>
              <w:rPr>
                <w:rFonts w:hint="eastAsia" w:ascii="宋体" w:hAnsi="宋体" w:cs="宋体"/>
                <w:b/>
                <w:szCs w:val="21"/>
                <w:highlight w:val="none"/>
              </w:rPr>
              <w:t>评标基准价的计算：</w:t>
            </w:r>
          </w:p>
          <w:p>
            <w:pPr>
              <w:spacing w:line="360" w:lineRule="auto"/>
              <w:rPr>
                <w:rFonts w:hint="eastAsia" w:ascii="宋体" w:hAnsi="宋体" w:cs="宋体"/>
                <w:b/>
                <w:szCs w:val="21"/>
                <w:highlight w:val="none"/>
              </w:rPr>
            </w:pPr>
            <w:r>
              <w:rPr>
                <w:rFonts w:hint="eastAsia" w:ascii="宋体" w:hAnsi="宋体" w:cs="宋体"/>
                <w:b/>
                <w:szCs w:val="21"/>
                <w:highlight w:val="none"/>
              </w:rPr>
              <w:t>(1) 评标价的确定：</w:t>
            </w:r>
          </w:p>
          <w:p>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投标人评标价＝投标函文字报价</w:t>
            </w:r>
          </w:p>
          <w:p>
            <w:pPr>
              <w:numPr>
                <w:ilvl w:val="0"/>
                <w:numId w:val="12"/>
              </w:numPr>
              <w:spacing w:line="360" w:lineRule="auto"/>
              <w:rPr>
                <w:rFonts w:hint="eastAsia" w:ascii="宋体" w:hAnsi="宋体" w:cs="宋体"/>
                <w:b/>
                <w:kern w:val="0"/>
                <w:szCs w:val="21"/>
                <w:highlight w:val="none"/>
              </w:rPr>
            </w:pPr>
            <w:r>
              <w:rPr>
                <w:rFonts w:hint="eastAsia" w:ascii="宋体" w:hAnsi="宋体" w:cs="宋体"/>
                <w:b/>
                <w:kern w:val="0"/>
                <w:szCs w:val="21"/>
                <w:highlight w:val="none"/>
                <w:lang w:eastAsia="zh-CN"/>
              </w:rPr>
              <w:t>最高评标限价</w:t>
            </w:r>
            <w:r>
              <w:rPr>
                <w:rFonts w:hint="eastAsia" w:ascii="宋体" w:hAnsi="宋体" w:cs="宋体"/>
                <w:b/>
                <w:kern w:val="0"/>
                <w:szCs w:val="21"/>
                <w:highlight w:val="none"/>
              </w:rPr>
              <w:t>的确定：</w:t>
            </w:r>
          </w:p>
          <w:p>
            <w:pPr>
              <w:spacing w:line="360" w:lineRule="auto"/>
              <w:rPr>
                <w:rFonts w:hint="eastAsia" w:ascii="宋体" w:hAnsi="宋体" w:cs="宋体"/>
                <w:kern w:val="0"/>
                <w:szCs w:val="21"/>
                <w:highlight w:val="none"/>
              </w:rPr>
            </w:pPr>
            <w:r>
              <w:rPr>
                <w:rFonts w:hint="eastAsia" w:ascii="宋体" w:hAnsi="宋体" w:cs="宋体"/>
                <w:kern w:val="0"/>
                <w:szCs w:val="21"/>
                <w:highlight w:val="none"/>
                <w:lang w:eastAsia="zh-CN"/>
              </w:rPr>
              <w:t>最高投标限价</w:t>
            </w:r>
            <w:r>
              <w:rPr>
                <w:rFonts w:hint="eastAsia" w:ascii="宋体" w:hAnsi="宋体" w:cs="宋体"/>
                <w:kern w:val="0"/>
                <w:szCs w:val="21"/>
                <w:highlight w:val="none"/>
              </w:rPr>
              <w:t>下浮率在</w:t>
            </w:r>
            <w:r>
              <w:rPr>
                <w:rFonts w:hint="eastAsia" w:ascii="宋体" w:hAnsi="宋体" w:cs="宋体"/>
                <w:kern w:val="0"/>
                <w:szCs w:val="21"/>
                <w:highlight w:val="none"/>
                <w:lang w:eastAsia="zh-CN"/>
              </w:rPr>
              <w:t>第二个信封</w:t>
            </w:r>
            <w:r>
              <w:rPr>
                <w:rFonts w:hint="eastAsia" w:ascii="宋体" w:hAnsi="宋体" w:cs="宋体"/>
                <w:kern w:val="0"/>
                <w:szCs w:val="21"/>
                <w:highlight w:val="none"/>
              </w:rPr>
              <w:t>开标前在开标现场采取摇珠方式确定。摇珠操作办法如下：</w:t>
            </w:r>
          </w:p>
          <w:p>
            <w:pPr>
              <w:spacing w:line="360" w:lineRule="auto"/>
              <w:ind w:firstLine="430" w:firstLineChars="205"/>
              <w:rPr>
                <w:rFonts w:hint="eastAsia" w:ascii="宋体" w:hAnsi="宋体" w:cs="宋体"/>
                <w:b/>
                <w:kern w:val="0"/>
                <w:szCs w:val="21"/>
                <w:highlight w:val="none"/>
              </w:rPr>
            </w:pPr>
            <w:r>
              <w:rPr>
                <w:rFonts w:hint="eastAsia" w:ascii="宋体" w:hAnsi="宋体" w:cs="宋体"/>
                <w:kern w:val="0"/>
                <w:szCs w:val="21"/>
                <w:highlight w:val="none"/>
                <w:lang w:eastAsia="zh-CN"/>
              </w:rPr>
              <w:t>在下浮率摇珠范围内，以</w:t>
            </w:r>
            <w:r>
              <w:rPr>
                <w:rFonts w:hint="eastAsia" w:ascii="宋体" w:hAnsi="宋体" w:cs="宋体"/>
                <w:kern w:val="0"/>
                <w:szCs w:val="21"/>
                <w:highlight w:val="none"/>
                <w:lang w:val="en-US" w:eastAsia="zh-CN"/>
              </w:rPr>
              <w:t>0.1%为一档次增序确定摇珠号码，不少于31个球，一次性摇取1个球，摇出球对应的下浮率即为本项目招标下浮率</w:t>
            </w:r>
            <w:r>
              <w:rPr>
                <w:rFonts w:hint="eastAsia" w:ascii="宋体" w:hAnsi="宋体" w:cs="宋体"/>
                <w:kern w:val="0"/>
                <w:szCs w:val="21"/>
                <w:highlight w:val="none"/>
              </w:rPr>
              <w:t>。</w:t>
            </w:r>
            <w:r>
              <w:rPr>
                <w:rFonts w:hint="eastAsia" w:ascii="宋体" w:hAnsi="宋体" w:cs="宋体"/>
                <w:b/>
                <w:bCs/>
                <w:kern w:val="0"/>
                <w:szCs w:val="21"/>
                <w:highlight w:val="none"/>
              </w:rPr>
              <w:t>（注：本项目</w:t>
            </w:r>
            <w:r>
              <w:rPr>
                <w:rFonts w:hint="eastAsia" w:ascii="宋体" w:hAnsi="宋体" w:cs="宋体"/>
                <w:b/>
                <w:bCs/>
                <w:snapToGrid w:val="0"/>
                <w:szCs w:val="21"/>
                <w:highlight w:val="none"/>
              </w:rPr>
              <w:t>下浮率范围控制为</w:t>
            </w:r>
            <w:r>
              <w:rPr>
                <w:rFonts w:hint="eastAsia" w:ascii="宋体" w:hAnsi="宋体" w:cs="宋体"/>
                <w:b/>
                <w:bCs/>
                <w:snapToGrid w:val="0"/>
                <w:szCs w:val="21"/>
                <w:highlight w:val="none"/>
                <w:u w:val="single"/>
              </w:rPr>
              <w:t>3%～</w:t>
            </w:r>
            <w:r>
              <w:rPr>
                <w:rFonts w:hint="eastAsia" w:ascii="宋体" w:hAnsi="宋体" w:cs="宋体"/>
                <w:b/>
                <w:bCs/>
                <w:snapToGrid w:val="0"/>
                <w:szCs w:val="21"/>
                <w:highlight w:val="none"/>
                <w:u w:val="single"/>
                <w:lang w:val="en-US" w:eastAsia="zh-CN"/>
              </w:rPr>
              <w:t>6</w:t>
            </w:r>
            <w:r>
              <w:rPr>
                <w:rFonts w:hint="eastAsia" w:ascii="宋体" w:hAnsi="宋体" w:cs="宋体"/>
                <w:b/>
                <w:bCs/>
                <w:snapToGrid w:val="0"/>
                <w:szCs w:val="21"/>
                <w:highlight w:val="none"/>
                <w:u w:val="single"/>
              </w:rPr>
              <w:t>%</w:t>
            </w:r>
            <w:r>
              <w:rPr>
                <w:rFonts w:hint="eastAsia" w:ascii="宋体" w:hAnsi="宋体" w:cs="宋体"/>
                <w:b/>
                <w:bCs/>
                <w:snapToGrid w:val="0"/>
                <w:szCs w:val="21"/>
                <w:highlight w:val="none"/>
              </w:rPr>
              <w:t>浮动区间。）</w:t>
            </w:r>
            <w:r>
              <w:rPr>
                <w:rFonts w:hint="eastAsia" w:ascii="宋体" w:hAnsi="宋体" w:cs="宋体"/>
                <w:b/>
                <w:kern w:val="0"/>
                <w:szCs w:val="21"/>
                <w:highlight w:val="none"/>
              </w:rPr>
              <w:t xml:space="preserve"> </w:t>
            </w:r>
          </w:p>
          <w:p>
            <w:pPr>
              <w:spacing w:line="360" w:lineRule="auto"/>
              <w:ind w:firstLine="432" w:firstLineChars="205"/>
              <w:rPr>
                <w:rFonts w:hint="eastAsia" w:ascii="宋体" w:hAnsi="宋体" w:eastAsia="宋体" w:cs="宋体"/>
                <w:b/>
                <w:kern w:val="0"/>
                <w:szCs w:val="21"/>
                <w:highlight w:val="none"/>
                <w:lang w:eastAsia="zh-CN"/>
              </w:rPr>
            </w:pPr>
            <w:r>
              <w:rPr>
                <w:rFonts w:hint="eastAsia" w:ascii="宋体" w:hAnsi="宋体" w:cs="宋体"/>
                <w:b/>
                <w:kern w:val="0"/>
                <w:szCs w:val="21"/>
                <w:highlight w:val="none"/>
                <w:lang w:eastAsia="zh-CN"/>
              </w:rPr>
              <w:t>最高评标限价</w:t>
            </w:r>
            <w:r>
              <w:rPr>
                <w:rFonts w:hint="eastAsia" w:ascii="宋体" w:hAnsi="宋体" w:cs="宋体"/>
                <w:b/>
                <w:kern w:val="0"/>
                <w:szCs w:val="21"/>
                <w:highlight w:val="none"/>
                <w:lang w:val="en-US" w:eastAsia="zh-CN"/>
              </w:rPr>
              <w:t>=最高投标限价</w:t>
            </w:r>
            <w:r>
              <w:rPr>
                <w:rFonts w:hint="eastAsia" w:ascii="宋体" w:hAnsi="宋体" w:cs="宋体"/>
                <w:b/>
                <w:snapToGrid w:val="0"/>
                <w:szCs w:val="21"/>
                <w:highlight w:val="none"/>
              </w:rPr>
              <w:t>×（1-下浮率）</w:t>
            </w:r>
          </w:p>
          <w:p>
            <w:pPr>
              <w:spacing w:line="360" w:lineRule="auto"/>
              <w:rPr>
                <w:rFonts w:hint="eastAsia" w:ascii="宋体" w:hAnsi="宋体" w:cs="宋体"/>
                <w:b/>
                <w:bCs/>
                <w:kern w:val="0"/>
                <w:szCs w:val="21"/>
                <w:highlight w:val="none"/>
                <w:lang w:val="en-US" w:eastAsia="zh-CN"/>
              </w:rPr>
            </w:pPr>
            <w:r>
              <w:rPr>
                <w:rFonts w:hint="eastAsia" w:ascii="宋体" w:hAnsi="宋体" w:cs="宋体"/>
                <w:b/>
                <w:bCs/>
                <w:kern w:val="0"/>
                <w:szCs w:val="21"/>
                <w:highlight w:val="none"/>
                <w:lang w:val="en-US" w:eastAsia="zh-CN"/>
              </w:rPr>
              <w:t>(3)有效评标价范围：</w:t>
            </w:r>
          </w:p>
          <w:p>
            <w:pPr>
              <w:spacing w:line="360" w:lineRule="auto"/>
              <w:rPr>
                <w:rFonts w:hint="eastAsia" w:ascii="宋体" w:hAnsi="宋体" w:cs="宋体"/>
                <w:kern w:val="0"/>
                <w:szCs w:val="21"/>
                <w:highlight w:val="none"/>
              </w:rPr>
            </w:pPr>
            <w:r>
              <w:rPr>
                <w:rFonts w:hint="eastAsia" w:ascii="宋体" w:hAnsi="宋体" w:cs="宋体"/>
                <w:kern w:val="0"/>
                <w:szCs w:val="21"/>
                <w:highlight w:val="none"/>
                <w:lang w:eastAsia="zh-CN"/>
              </w:rPr>
              <w:t>有效评标价范围为：</w:t>
            </w:r>
            <w:r>
              <w:rPr>
                <w:rFonts w:hint="eastAsia" w:ascii="宋体" w:hAnsi="宋体" w:cs="宋体"/>
                <w:kern w:val="0"/>
                <w:szCs w:val="21"/>
                <w:highlight w:val="none"/>
              </w:rPr>
              <w:t>不大于最高</w:t>
            </w:r>
            <w:r>
              <w:rPr>
                <w:rFonts w:hint="eastAsia" w:ascii="宋体" w:hAnsi="宋体" w:cs="宋体"/>
                <w:kern w:val="0"/>
                <w:szCs w:val="21"/>
                <w:highlight w:val="none"/>
                <w:lang w:eastAsia="zh-CN"/>
              </w:rPr>
              <w:t>投标限价且各合同段报价不大于相应合同段最高投标限价的评标价为</w:t>
            </w:r>
            <w:r>
              <w:rPr>
                <w:rFonts w:hint="eastAsia" w:ascii="宋体" w:hAnsi="宋体" w:cs="宋体"/>
                <w:kern w:val="0"/>
                <w:szCs w:val="21"/>
                <w:highlight w:val="none"/>
              </w:rPr>
              <w:t>有效评标价。大于最高</w:t>
            </w:r>
            <w:r>
              <w:rPr>
                <w:rFonts w:hint="eastAsia" w:ascii="宋体" w:hAnsi="宋体" w:cs="宋体"/>
                <w:kern w:val="0"/>
                <w:szCs w:val="21"/>
                <w:highlight w:val="none"/>
                <w:lang w:eastAsia="zh-CN"/>
              </w:rPr>
              <w:t>评标</w:t>
            </w:r>
            <w:r>
              <w:rPr>
                <w:rFonts w:hint="eastAsia" w:ascii="宋体" w:hAnsi="宋体" w:cs="宋体"/>
                <w:kern w:val="0"/>
                <w:szCs w:val="21"/>
                <w:highlight w:val="none"/>
              </w:rPr>
              <w:t>限价的评标价，将否决其投标。本项目的招标人控制价为</w:t>
            </w:r>
            <w:r>
              <w:rPr>
                <w:rFonts w:hint="eastAsia" w:ascii="宋体" w:hAnsi="宋体" w:eastAsia="宋体" w:cs="宋体"/>
                <w:b w:val="0"/>
                <w:bCs/>
                <w:i w:val="0"/>
                <w:color w:val="000000"/>
                <w:kern w:val="0"/>
                <w:sz w:val="21"/>
                <w:szCs w:val="21"/>
                <w:highlight w:val="none"/>
                <w:u w:val="none"/>
                <w:lang w:val="en-US" w:eastAsia="zh-CN" w:bidi="ar"/>
              </w:rPr>
              <w:t>8,559,866</w:t>
            </w:r>
            <w:r>
              <w:rPr>
                <w:rFonts w:hint="eastAsia" w:ascii="宋体" w:hAnsi="宋体" w:cs="宋体"/>
                <w:kern w:val="0"/>
                <w:szCs w:val="21"/>
                <w:highlight w:val="none"/>
              </w:rPr>
              <w:t>元（大写：</w:t>
            </w:r>
            <w:r>
              <w:rPr>
                <w:rFonts w:hint="eastAsia" w:ascii="宋体" w:hAnsi="宋体" w:cs="宋体"/>
                <w:kern w:val="0"/>
                <w:szCs w:val="21"/>
                <w:highlight w:val="none"/>
                <w:lang w:eastAsia="zh-CN"/>
              </w:rPr>
              <w:t>捌佰伍拾伍万玖仟捌佰陆拾陆元整</w:t>
            </w:r>
            <w:r>
              <w:rPr>
                <w:rFonts w:hint="eastAsia" w:ascii="宋体" w:hAnsi="宋体" w:cs="宋体"/>
                <w:kern w:val="0"/>
                <w:szCs w:val="21"/>
                <w:highlight w:val="none"/>
              </w:rPr>
              <w:t>）</w:t>
            </w:r>
          </w:p>
          <w:tbl>
            <w:tblPr>
              <w:tblStyle w:val="5"/>
              <w:tblW w:w="57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2"/>
              <w:gridCol w:w="1215"/>
              <w:gridCol w:w="144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2" w:type="dxa"/>
                  <w:vAlign w:val="center"/>
                </w:tcPr>
                <w:p>
                  <w:pPr>
                    <w:spacing w:line="360" w:lineRule="auto"/>
                    <w:jc w:val="center"/>
                    <w:rPr>
                      <w:rFonts w:hint="eastAsia" w:ascii="宋体" w:hAnsi="宋体" w:eastAsia="宋体" w:cs="宋体"/>
                      <w:kern w:val="0"/>
                      <w:sz w:val="21"/>
                      <w:szCs w:val="21"/>
                      <w:highlight w:val="none"/>
                      <w:vertAlign w:val="baseline"/>
                      <w:lang w:eastAsia="zh-CN"/>
                    </w:rPr>
                  </w:pPr>
                  <w:r>
                    <w:rPr>
                      <w:rFonts w:hint="eastAsia" w:ascii="宋体" w:hAnsi="宋体" w:eastAsia="宋体" w:cs="宋体"/>
                      <w:kern w:val="0"/>
                      <w:sz w:val="21"/>
                      <w:szCs w:val="21"/>
                      <w:highlight w:val="none"/>
                      <w:vertAlign w:val="baseline"/>
                      <w:lang w:eastAsia="zh-CN"/>
                    </w:rPr>
                    <w:t>合同段</w:t>
                  </w:r>
                </w:p>
              </w:tc>
              <w:tc>
                <w:tcPr>
                  <w:tcW w:w="1215" w:type="dxa"/>
                  <w:vAlign w:val="center"/>
                </w:tcPr>
                <w:p>
                  <w:pPr>
                    <w:spacing w:line="360" w:lineRule="auto"/>
                    <w:jc w:val="center"/>
                    <w:rPr>
                      <w:rFonts w:hint="eastAsia" w:ascii="宋体" w:hAnsi="宋体" w:eastAsia="宋体" w:cs="宋体"/>
                      <w:kern w:val="0"/>
                      <w:sz w:val="21"/>
                      <w:szCs w:val="21"/>
                      <w:highlight w:val="none"/>
                      <w:vertAlign w:val="baseline"/>
                      <w:lang w:eastAsia="zh-CN"/>
                    </w:rPr>
                  </w:pPr>
                  <w:r>
                    <w:rPr>
                      <w:rFonts w:hint="eastAsia" w:ascii="宋体" w:hAnsi="宋体" w:cs="宋体"/>
                      <w:kern w:val="0"/>
                      <w:sz w:val="21"/>
                      <w:szCs w:val="21"/>
                      <w:highlight w:val="none"/>
                      <w:lang w:eastAsia="zh-CN"/>
                    </w:rPr>
                    <w:t>合同段简称</w:t>
                  </w:r>
                </w:p>
              </w:tc>
              <w:tc>
                <w:tcPr>
                  <w:tcW w:w="1440" w:type="dxa"/>
                  <w:vAlign w:val="center"/>
                </w:tcPr>
                <w:p>
                  <w:pPr>
                    <w:spacing w:line="360" w:lineRule="auto"/>
                    <w:jc w:val="center"/>
                    <w:rPr>
                      <w:rFonts w:hint="eastAsia" w:ascii="宋体" w:hAnsi="宋体" w:cs="宋体"/>
                      <w:kern w:val="0"/>
                      <w:sz w:val="21"/>
                      <w:szCs w:val="21"/>
                      <w:highlight w:val="none"/>
                      <w:vertAlign w:val="baseline"/>
                      <w:lang w:eastAsia="zh-CN"/>
                    </w:rPr>
                  </w:pPr>
                  <w:r>
                    <w:rPr>
                      <w:rFonts w:hint="eastAsia" w:ascii="宋体" w:hAnsi="宋体" w:cs="宋体"/>
                      <w:kern w:val="0"/>
                      <w:sz w:val="21"/>
                      <w:szCs w:val="21"/>
                      <w:highlight w:val="none"/>
                      <w:vertAlign w:val="baseline"/>
                      <w:lang w:eastAsia="zh-CN"/>
                    </w:rPr>
                    <w:t>最高投标限价（元）</w:t>
                  </w:r>
                </w:p>
              </w:tc>
              <w:tc>
                <w:tcPr>
                  <w:tcW w:w="1785" w:type="dxa"/>
                  <w:vAlign w:val="center"/>
                </w:tcPr>
                <w:p>
                  <w:pPr>
                    <w:spacing w:line="360" w:lineRule="auto"/>
                    <w:jc w:val="center"/>
                    <w:rPr>
                      <w:rFonts w:hint="eastAsia" w:ascii="宋体" w:hAnsi="宋体" w:cs="宋体"/>
                      <w:kern w:val="0"/>
                      <w:sz w:val="21"/>
                      <w:szCs w:val="21"/>
                      <w:highlight w:val="none"/>
                      <w:vertAlign w:val="baseline"/>
                      <w:lang w:eastAsia="zh-CN"/>
                    </w:rPr>
                  </w:pPr>
                  <w:r>
                    <w:rPr>
                      <w:rFonts w:hint="eastAsia" w:ascii="宋体" w:hAnsi="宋体" w:cs="宋体"/>
                      <w:kern w:val="0"/>
                      <w:sz w:val="21"/>
                      <w:szCs w:val="21"/>
                      <w:highlight w:val="none"/>
                      <w:vertAlign w:val="baseline"/>
                      <w:lang w:eastAsia="zh-CN"/>
                    </w:rPr>
                    <w:t>合同段招标人最高投标限价（元）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2" w:type="dxa"/>
                  <w:vAlign w:val="center"/>
                </w:tcPr>
                <w:p>
                  <w:pPr>
                    <w:spacing w:line="360" w:lineRule="auto"/>
                    <w:jc w:val="center"/>
                    <w:rPr>
                      <w:rFonts w:hint="eastAsia" w:ascii="宋体" w:hAnsi="宋体" w:eastAsia="宋体" w:cs="宋体"/>
                      <w:kern w:val="0"/>
                      <w:sz w:val="21"/>
                      <w:szCs w:val="21"/>
                      <w:highlight w:val="none"/>
                      <w:vertAlign w:val="baseline"/>
                      <w:lang w:eastAsia="zh-CN"/>
                    </w:rPr>
                  </w:pPr>
                  <w:r>
                    <w:rPr>
                      <w:rFonts w:hint="eastAsia" w:ascii="宋体" w:hAnsi="宋体" w:eastAsia="宋体" w:cs="宋体"/>
                      <w:kern w:val="0"/>
                      <w:sz w:val="21"/>
                      <w:szCs w:val="21"/>
                      <w:highlight w:val="none"/>
                      <w:vertAlign w:val="baseline"/>
                      <w:lang w:eastAsia="zh-CN"/>
                    </w:rPr>
                    <w:t>第</w:t>
                  </w:r>
                  <w:r>
                    <w:rPr>
                      <w:rFonts w:hint="eastAsia" w:ascii="宋体" w:hAnsi="宋体" w:eastAsia="宋体" w:cs="宋体"/>
                      <w:kern w:val="0"/>
                      <w:sz w:val="21"/>
                      <w:szCs w:val="21"/>
                      <w:highlight w:val="none"/>
                      <w:vertAlign w:val="baseline"/>
                      <w:lang w:val="en-US" w:eastAsia="zh-CN"/>
                    </w:rPr>
                    <w:t>1合同段</w:t>
                  </w:r>
                </w:p>
              </w:tc>
              <w:tc>
                <w:tcPr>
                  <w:tcW w:w="1215" w:type="dxa"/>
                  <w:vAlign w:val="center"/>
                </w:tcPr>
                <w:p>
                  <w:pPr>
                    <w:spacing w:line="360" w:lineRule="auto"/>
                    <w:jc w:val="center"/>
                    <w:rPr>
                      <w:rFonts w:hint="eastAsia" w:ascii="宋体" w:hAnsi="宋体" w:cs="宋体"/>
                      <w:kern w:val="0"/>
                      <w:sz w:val="21"/>
                      <w:szCs w:val="21"/>
                      <w:highlight w:val="none"/>
                      <w:vertAlign w:val="baseline"/>
                    </w:rPr>
                  </w:pPr>
                  <w:r>
                    <w:rPr>
                      <w:rFonts w:hint="eastAsia" w:ascii="宋体" w:hAnsi="宋体" w:cs="宋体"/>
                      <w:kern w:val="0"/>
                      <w:sz w:val="21"/>
                      <w:szCs w:val="21"/>
                      <w:highlight w:val="none"/>
                      <w:vertAlign w:val="baseline"/>
                      <w:lang w:eastAsia="zh-CN"/>
                    </w:rPr>
                    <w:t>南环段</w:t>
                  </w:r>
                </w:p>
              </w:tc>
              <w:tc>
                <w:tcPr>
                  <w:tcW w:w="1440" w:type="dxa"/>
                  <w:vMerge w:val="restart"/>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highlight w:val="none"/>
                      <w:u w:val="none"/>
                      <w:lang w:val="en-US" w:eastAsia="zh-CN" w:bidi="ar"/>
                    </w:rPr>
                  </w:pPr>
                  <w:r>
                    <w:rPr>
                      <w:rFonts w:hint="eastAsia" w:ascii="宋体" w:hAnsi="宋体" w:eastAsia="宋体" w:cs="宋体"/>
                      <w:b w:val="0"/>
                      <w:bCs/>
                      <w:i w:val="0"/>
                      <w:color w:val="000000"/>
                      <w:kern w:val="0"/>
                      <w:sz w:val="21"/>
                      <w:szCs w:val="21"/>
                      <w:highlight w:val="none"/>
                      <w:u w:val="none"/>
                      <w:lang w:val="en-US" w:eastAsia="zh-CN" w:bidi="ar"/>
                    </w:rPr>
                    <w:t>8,559,866</w:t>
                  </w:r>
                </w:p>
              </w:tc>
              <w:tc>
                <w:tcPr>
                  <w:tcW w:w="1785" w:type="dxa"/>
                  <w:vAlign w:val="center"/>
                </w:tcPr>
                <w:p>
                  <w:pPr>
                    <w:spacing w:line="360" w:lineRule="auto"/>
                    <w:jc w:val="center"/>
                    <w:rPr>
                      <w:rFonts w:hint="eastAsia" w:ascii="宋体" w:hAnsi="宋体" w:eastAsia="宋体" w:cs="宋体"/>
                      <w:kern w:val="0"/>
                      <w:sz w:val="21"/>
                      <w:szCs w:val="21"/>
                      <w:highlight w:val="none"/>
                      <w:vertAlign w:val="baseline"/>
                      <w:lang w:val="en-US" w:eastAsia="zh-CN"/>
                    </w:rPr>
                  </w:pPr>
                  <w:r>
                    <w:rPr>
                      <w:rFonts w:hint="eastAsia" w:ascii="宋体" w:hAnsi="宋体" w:cs="宋体"/>
                      <w:kern w:val="0"/>
                      <w:sz w:val="21"/>
                      <w:szCs w:val="21"/>
                      <w:highlight w:val="none"/>
                      <w:vertAlign w:val="baseline"/>
                      <w:lang w:val="en-US" w:eastAsia="zh-CN"/>
                    </w:rPr>
                    <w:t>1,810,332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2" w:type="dxa"/>
                  <w:shd w:val="clear" w:color="auto" w:fill="auto"/>
                  <w:vAlign w:val="center"/>
                </w:tcPr>
                <w:p>
                  <w:pPr>
                    <w:spacing w:line="360" w:lineRule="auto"/>
                    <w:jc w:val="center"/>
                    <w:rPr>
                      <w:rFonts w:hint="eastAsia" w:ascii="宋体" w:hAnsi="宋体" w:eastAsia="宋体" w:cs="宋体"/>
                      <w:kern w:val="0"/>
                      <w:sz w:val="21"/>
                      <w:szCs w:val="21"/>
                      <w:highlight w:val="none"/>
                      <w:vertAlign w:val="baseline"/>
                      <w:lang w:eastAsia="zh-CN"/>
                    </w:rPr>
                  </w:pPr>
                  <w:r>
                    <w:rPr>
                      <w:rFonts w:hint="eastAsia" w:ascii="宋体" w:hAnsi="宋体" w:eastAsia="宋体" w:cs="宋体"/>
                      <w:kern w:val="0"/>
                      <w:sz w:val="21"/>
                      <w:szCs w:val="21"/>
                      <w:highlight w:val="none"/>
                      <w:vertAlign w:val="baseline"/>
                      <w:lang w:eastAsia="zh-CN"/>
                    </w:rPr>
                    <w:t>第</w:t>
                  </w:r>
                  <w:r>
                    <w:rPr>
                      <w:rFonts w:hint="eastAsia" w:ascii="宋体" w:hAnsi="宋体" w:eastAsia="宋体" w:cs="宋体"/>
                      <w:kern w:val="0"/>
                      <w:sz w:val="21"/>
                      <w:szCs w:val="21"/>
                      <w:highlight w:val="none"/>
                      <w:vertAlign w:val="baseline"/>
                      <w:lang w:val="en-US" w:eastAsia="zh-CN"/>
                    </w:rPr>
                    <w:t>2合同段</w:t>
                  </w:r>
                </w:p>
              </w:tc>
              <w:tc>
                <w:tcPr>
                  <w:tcW w:w="1215" w:type="dxa"/>
                  <w:shd w:val="clear" w:color="auto" w:fill="FFFFFF"/>
                  <w:vAlign w:val="center"/>
                </w:tcPr>
                <w:p>
                  <w:pPr>
                    <w:keepNext w:val="0"/>
                    <w:keepLines w:val="0"/>
                    <w:widowControl/>
                    <w:suppressLineNumbers w:val="0"/>
                    <w:jc w:val="center"/>
                    <w:textAlignment w:val="center"/>
                    <w:rPr>
                      <w:rFonts w:hint="eastAsia" w:ascii="宋体" w:hAnsi="宋体" w:cs="宋体"/>
                      <w:kern w:val="0"/>
                      <w:sz w:val="21"/>
                      <w:szCs w:val="21"/>
                      <w:highlight w:val="none"/>
                      <w:vertAlign w:val="baseline"/>
                    </w:rPr>
                  </w:pPr>
                  <w:r>
                    <w:rPr>
                      <w:rFonts w:hint="eastAsia" w:ascii="宋体" w:hAnsi="宋体" w:cs="宋体"/>
                      <w:kern w:val="0"/>
                      <w:sz w:val="21"/>
                      <w:szCs w:val="21"/>
                      <w:highlight w:val="none"/>
                      <w:vertAlign w:val="baseline"/>
                      <w:lang w:eastAsia="zh-CN"/>
                    </w:rPr>
                    <w:t>广珠东线</w:t>
                  </w:r>
                </w:p>
              </w:tc>
              <w:tc>
                <w:tcPr>
                  <w:tcW w:w="1440" w:type="dxa"/>
                  <w:vMerge w:val="continue"/>
                  <w:shd w:val="clear" w:color="auto" w:fill="FFFFFF"/>
                  <w:vAlign w:val="center"/>
                </w:tcPr>
                <w:p>
                  <w:pPr>
                    <w:keepNext w:val="0"/>
                    <w:keepLines w:val="0"/>
                    <w:widowControl/>
                    <w:suppressLineNumbers w:val="0"/>
                    <w:jc w:val="center"/>
                    <w:textAlignment w:val="center"/>
                    <w:rPr>
                      <w:rFonts w:hint="eastAsia" w:ascii="宋体" w:hAnsi="宋体" w:cs="宋体"/>
                      <w:kern w:val="0"/>
                      <w:sz w:val="21"/>
                      <w:szCs w:val="21"/>
                      <w:highlight w:val="none"/>
                      <w:vertAlign w:val="baseline"/>
                      <w:lang w:val="en-US" w:eastAsia="zh-CN"/>
                    </w:rPr>
                  </w:pPr>
                </w:p>
              </w:tc>
              <w:tc>
                <w:tcPr>
                  <w:tcW w:w="1785" w:type="dxa"/>
                  <w:shd w:val="clear" w:color="auto" w:fill="FFFFFF"/>
                  <w:vAlign w:val="center"/>
                </w:tcPr>
                <w:p>
                  <w:pPr>
                    <w:spacing w:line="360" w:lineRule="auto"/>
                    <w:jc w:val="center"/>
                    <w:rPr>
                      <w:rFonts w:hint="eastAsia" w:ascii="宋体" w:hAnsi="宋体" w:cs="宋体"/>
                      <w:kern w:val="0"/>
                      <w:sz w:val="21"/>
                      <w:szCs w:val="21"/>
                      <w:highlight w:val="none"/>
                      <w:vertAlign w:val="baseline"/>
                      <w:lang w:val="en-US" w:eastAsia="zh-CN"/>
                    </w:rPr>
                  </w:pPr>
                  <w:r>
                    <w:rPr>
                      <w:rFonts w:hint="eastAsia" w:ascii="宋体" w:hAnsi="宋体" w:cs="宋体"/>
                      <w:kern w:val="0"/>
                      <w:sz w:val="21"/>
                      <w:szCs w:val="21"/>
                      <w:highlight w:val="none"/>
                      <w:vertAlign w:val="baseline"/>
                      <w:lang w:val="en-US" w:eastAsia="zh-CN"/>
                    </w:rPr>
                    <w:t>4,490,690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2" w:type="dxa"/>
                  <w:shd w:val="clear" w:color="auto" w:fill="auto"/>
                  <w:vAlign w:val="center"/>
                </w:tcPr>
                <w:p>
                  <w:pPr>
                    <w:spacing w:line="360" w:lineRule="auto"/>
                    <w:jc w:val="center"/>
                    <w:rPr>
                      <w:rFonts w:hint="eastAsia" w:ascii="宋体" w:hAnsi="宋体" w:eastAsia="宋体" w:cs="宋体"/>
                      <w:kern w:val="0"/>
                      <w:sz w:val="21"/>
                      <w:szCs w:val="21"/>
                      <w:highlight w:val="none"/>
                      <w:vertAlign w:val="baseline"/>
                      <w:lang w:eastAsia="zh-CN"/>
                    </w:rPr>
                  </w:pPr>
                  <w:r>
                    <w:rPr>
                      <w:rFonts w:hint="eastAsia" w:ascii="宋体" w:hAnsi="宋体" w:eastAsia="宋体" w:cs="宋体"/>
                      <w:kern w:val="0"/>
                      <w:sz w:val="21"/>
                      <w:szCs w:val="21"/>
                      <w:highlight w:val="none"/>
                      <w:vertAlign w:val="baseline"/>
                      <w:lang w:eastAsia="zh-CN"/>
                    </w:rPr>
                    <w:t>第</w:t>
                  </w:r>
                  <w:r>
                    <w:rPr>
                      <w:rFonts w:hint="eastAsia" w:ascii="宋体" w:hAnsi="宋体" w:eastAsia="宋体" w:cs="宋体"/>
                      <w:kern w:val="0"/>
                      <w:sz w:val="21"/>
                      <w:szCs w:val="21"/>
                      <w:highlight w:val="none"/>
                      <w:vertAlign w:val="baseline"/>
                      <w:lang w:val="en-US" w:eastAsia="zh-CN"/>
                    </w:rPr>
                    <w:t>3合同段</w:t>
                  </w:r>
                </w:p>
              </w:tc>
              <w:tc>
                <w:tcPr>
                  <w:tcW w:w="1215" w:type="dxa"/>
                  <w:shd w:val="clear" w:color="auto" w:fill="FFFFFF"/>
                  <w:vAlign w:val="center"/>
                </w:tcPr>
                <w:p>
                  <w:pPr>
                    <w:keepNext w:val="0"/>
                    <w:keepLines w:val="0"/>
                    <w:widowControl/>
                    <w:suppressLineNumbers w:val="0"/>
                    <w:jc w:val="center"/>
                    <w:textAlignment w:val="center"/>
                    <w:rPr>
                      <w:rFonts w:hint="eastAsia" w:ascii="宋体" w:hAnsi="宋体" w:cs="宋体"/>
                      <w:kern w:val="0"/>
                      <w:sz w:val="21"/>
                      <w:szCs w:val="21"/>
                      <w:highlight w:val="none"/>
                      <w:vertAlign w:val="baseline"/>
                    </w:rPr>
                  </w:pPr>
                  <w:r>
                    <w:rPr>
                      <w:rFonts w:hint="eastAsia" w:ascii="宋体" w:hAnsi="宋体" w:cs="宋体"/>
                      <w:kern w:val="0"/>
                      <w:sz w:val="21"/>
                      <w:szCs w:val="21"/>
                      <w:highlight w:val="none"/>
                      <w:vertAlign w:val="baseline"/>
                      <w:lang w:eastAsia="zh-CN"/>
                    </w:rPr>
                    <w:t>广珠北段</w:t>
                  </w:r>
                </w:p>
              </w:tc>
              <w:tc>
                <w:tcPr>
                  <w:tcW w:w="1440" w:type="dxa"/>
                  <w:vMerge w:val="continue"/>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0"/>
                      <w:sz w:val="21"/>
                      <w:szCs w:val="21"/>
                      <w:highlight w:val="none"/>
                      <w:u w:val="none"/>
                      <w:lang w:val="en-US" w:eastAsia="zh-CN" w:bidi="ar"/>
                    </w:rPr>
                  </w:pPr>
                </w:p>
              </w:tc>
              <w:tc>
                <w:tcPr>
                  <w:tcW w:w="1785" w:type="dxa"/>
                  <w:shd w:val="clear" w:color="auto" w:fill="FFFFFF"/>
                  <w:vAlign w:val="center"/>
                </w:tcPr>
                <w:p>
                  <w:pPr>
                    <w:keepNext w:val="0"/>
                    <w:keepLines w:val="0"/>
                    <w:widowControl/>
                    <w:suppressLineNumbers w:val="0"/>
                    <w:jc w:val="center"/>
                    <w:textAlignment w:val="center"/>
                    <w:rPr>
                      <w:rFonts w:hint="eastAsia" w:ascii="宋体" w:hAnsi="宋体" w:cs="宋体"/>
                      <w:kern w:val="0"/>
                      <w:sz w:val="21"/>
                      <w:szCs w:val="21"/>
                      <w:highlight w:val="none"/>
                      <w:vertAlign w:val="baseline"/>
                      <w:lang w:val="en-US" w:eastAsia="zh-CN"/>
                    </w:rPr>
                  </w:pPr>
                  <w:r>
                    <w:rPr>
                      <w:rFonts w:hint="eastAsia" w:ascii="宋体" w:hAnsi="宋体" w:cs="宋体"/>
                      <w:kern w:val="0"/>
                      <w:sz w:val="21"/>
                      <w:szCs w:val="21"/>
                      <w:highlight w:val="none"/>
                      <w:vertAlign w:val="baseline"/>
                      <w:lang w:val="en-US" w:eastAsia="zh-CN"/>
                    </w:rPr>
                    <w:t>2,258,844</w:t>
                  </w:r>
                </w:p>
              </w:tc>
            </w:tr>
          </w:tbl>
          <w:p>
            <w:pPr>
              <w:spacing w:line="360" w:lineRule="auto"/>
              <w:rPr>
                <w:rFonts w:hint="eastAsia" w:ascii="宋体" w:hAnsi="宋体" w:cs="宋体"/>
                <w:kern w:val="0"/>
                <w:szCs w:val="21"/>
                <w:highlight w:val="none"/>
              </w:rPr>
            </w:pPr>
          </w:p>
          <w:p>
            <w:pPr>
              <w:snapToGrid w:val="0"/>
              <w:spacing w:line="360" w:lineRule="auto"/>
              <w:ind w:leftChars="-10" w:hanging="21" w:hangingChars="10"/>
              <w:rPr>
                <w:rFonts w:hint="eastAsia" w:ascii="宋体" w:hAnsi="宋体" w:cs="宋体"/>
                <w:b/>
                <w:snapToGrid w:val="0"/>
                <w:szCs w:val="21"/>
                <w:highlight w:val="none"/>
              </w:rPr>
            </w:pPr>
            <w:r>
              <w:rPr>
                <w:rFonts w:hint="eastAsia" w:ascii="宋体" w:hAnsi="宋体" w:cs="宋体"/>
                <w:b/>
                <w:snapToGrid w:val="0"/>
                <w:szCs w:val="21"/>
                <w:highlight w:val="none"/>
              </w:rPr>
              <w:t>(</w:t>
            </w:r>
            <w:r>
              <w:rPr>
                <w:rFonts w:hint="eastAsia" w:ascii="宋体" w:hAnsi="宋体" w:cs="宋体"/>
                <w:b/>
                <w:snapToGrid w:val="0"/>
                <w:szCs w:val="21"/>
                <w:highlight w:val="none"/>
                <w:lang w:val="en-US" w:eastAsia="zh-CN"/>
              </w:rPr>
              <w:t>4</w:t>
            </w:r>
            <w:r>
              <w:rPr>
                <w:rFonts w:hint="eastAsia" w:ascii="宋体" w:hAnsi="宋体" w:cs="宋体"/>
                <w:b/>
                <w:snapToGrid w:val="0"/>
                <w:szCs w:val="21"/>
                <w:highlight w:val="none"/>
              </w:rPr>
              <w:t>) 评标基准价的确定：</w:t>
            </w:r>
          </w:p>
          <w:p>
            <w:pPr>
              <w:snapToGrid w:val="0"/>
              <w:spacing w:line="360" w:lineRule="auto"/>
              <w:ind w:firstLine="420" w:firstLineChars="200"/>
              <w:rPr>
                <w:rFonts w:hint="eastAsia" w:ascii="宋体" w:hAnsi="宋体" w:cs="宋体"/>
                <w:snapToGrid w:val="0"/>
                <w:szCs w:val="21"/>
                <w:highlight w:val="none"/>
              </w:rPr>
            </w:pPr>
            <w:r>
              <w:rPr>
                <w:rFonts w:hint="eastAsia" w:ascii="宋体" w:hAnsi="宋体" w:cs="宋体"/>
                <w:snapToGrid w:val="0"/>
                <w:szCs w:val="21"/>
                <w:highlight w:val="none"/>
              </w:rPr>
              <w:t>评标基准价=最高</w:t>
            </w:r>
            <w:r>
              <w:rPr>
                <w:rFonts w:hint="eastAsia" w:ascii="宋体" w:hAnsi="宋体" w:cs="宋体"/>
                <w:snapToGrid w:val="0"/>
                <w:szCs w:val="21"/>
                <w:highlight w:val="none"/>
                <w:lang w:eastAsia="zh-CN"/>
              </w:rPr>
              <w:t>评标</w:t>
            </w:r>
            <w:r>
              <w:rPr>
                <w:rFonts w:hint="eastAsia" w:ascii="宋体" w:hAnsi="宋体" w:cs="宋体"/>
                <w:snapToGrid w:val="0"/>
                <w:szCs w:val="21"/>
                <w:highlight w:val="none"/>
              </w:rPr>
              <w:t>限价×0.98。</w:t>
            </w:r>
          </w:p>
          <w:p>
            <w:pPr>
              <w:snapToGrid w:val="0"/>
              <w:spacing w:line="360" w:lineRule="auto"/>
              <w:ind w:firstLine="420" w:firstLineChars="200"/>
              <w:rPr>
                <w:rFonts w:hint="eastAsia" w:ascii="宋体" w:hAnsi="宋体" w:eastAsia="宋体" w:cs="宋体"/>
                <w:snapToGrid w:val="0"/>
                <w:szCs w:val="21"/>
                <w:highlight w:val="none"/>
                <w:lang w:eastAsia="zh-CN"/>
              </w:rPr>
            </w:pPr>
            <w:r>
              <w:rPr>
                <w:rFonts w:hint="eastAsia" w:ascii="宋体" w:hAnsi="宋体" w:cs="宋体"/>
                <w:snapToGrid w:val="0"/>
                <w:szCs w:val="21"/>
                <w:highlight w:val="none"/>
                <w:lang w:eastAsia="zh-CN"/>
              </w:rPr>
              <w:t>在评标过程中，评标委员会应对招标人计算的评标基准价进行复核，存在计算错误的应予以修正并在评标报告中作出说明。除此之外，评标基准价在整个评标期间保持不变，不随任何因素发生变化。</w:t>
            </w:r>
          </w:p>
          <w:p>
            <w:pPr>
              <w:spacing w:line="360" w:lineRule="auto"/>
              <w:rPr>
                <w:rFonts w:hint="eastAsia" w:ascii="宋体" w:hAnsi="宋体" w:cs="宋体"/>
                <w:kern w:val="0"/>
                <w:szCs w:val="21"/>
                <w:highlight w:val="none"/>
              </w:rPr>
            </w:pPr>
            <w:r>
              <w:rPr>
                <w:rFonts w:hint="eastAsia" w:ascii="宋体" w:hAnsi="宋体" w:cs="宋体"/>
                <w:b/>
                <w:szCs w:val="21"/>
                <w:highlight w:val="none"/>
              </w:rPr>
              <w:t>备注：</w:t>
            </w:r>
            <w:r>
              <w:rPr>
                <w:rFonts w:hint="eastAsia" w:ascii="宋体" w:hAnsi="宋体" w:cs="宋体"/>
                <w:b/>
                <w:szCs w:val="21"/>
                <w:highlight w:val="none"/>
                <w:lang w:eastAsia="zh-CN"/>
              </w:rPr>
              <w:t>最高评标限价、评标基准价四舍五入至个位整数元。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0" w:hRule="atLeast"/>
        </w:trPr>
        <w:tc>
          <w:tcPr>
            <w:tcW w:w="1515" w:type="dxa"/>
            <w:gridSpan w:val="3"/>
            <w:vAlign w:val="center"/>
          </w:tcPr>
          <w:p>
            <w:pPr>
              <w:spacing w:line="360" w:lineRule="atLeast"/>
              <w:jc w:val="center"/>
              <w:rPr>
                <w:rFonts w:hint="eastAsia" w:ascii="宋体" w:hAnsi="宋体" w:cs="宋体"/>
                <w:szCs w:val="21"/>
                <w:highlight w:val="none"/>
              </w:rPr>
            </w:pPr>
            <w:r>
              <w:rPr>
                <w:rFonts w:hint="eastAsia" w:ascii="宋体" w:hAnsi="宋体" w:cs="宋体"/>
                <w:szCs w:val="21"/>
                <w:highlight w:val="none"/>
              </w:rPr>
              <w:t>2.2.3</w:t>
            </w:r>
          </w:p>
        </w:tc>
        <w:tc>
          <w:tcPr>
            <w:tcW w:w="1485" w:type="dxa"/>
            <w:gridSpan w:val="2"/>
            <w:vAlign w:val="center"/>
          </w:tcPr>
          <w:p>
            <w:pPr>
              <w:spacing w:line="360" w:lineRule="atLeast"/>
              <w:jc w:val="center"/>
              <w:rPr>
                <w:rFonts w:hint="eastAsia" w:ascii="宋体" w:hAnsi="宋体" w:cs="宋体"/>
                <w:szCs w:val="21"/>
                <w:highlight w:val="none"/>
              </w:rPr>
            </w:pPr>
            <w:r>
              <w:rPr>
                <w:rFonts w:hint="eastAsia" w:ascii="宋体" w:hAnsi="宋体" w:cs="宋体"/>
                <w:szCs w:val="21"/>
                <w:highlight w:val="none"/>
              </w:rPr>
              <w:t>评标价的偏差率计算公式</w:t>
            </w:r>
          </w:p>
        </w:tc>
        <w:tc>
          <w:tcPr>
            <w:tcW w:w="6480" w:type="dxa"/>
            <w:gridSpan w:val="2"/>
            <w:vAlign w:val="center"/>
          </w:tcPr>
          <w:p>
            <w:pPr>
              <w:spacing w:line="360" w:lineRule="atLeast"/>
              <w:rPr>
                <w:rFonts w:hint="eastAsia" w:ascii="宋体" w:hAnsi="宋体" w:cs="宋体"/>
                <w:szCs w:val="21"/>
                <w:highlight w:val="none"/>
              </w:rPr>
            </w:pPr>
            <w:r>
              <w:rPr>
                <w:rFonts w:hint="eastAsia" w:ascii="宋体" w:hAnsi="宋体" w:cs="宋体"/>
                <w:szCs w:val="21"/>
                <w:highlight w:val="none"/>
              </w:rPr>
              <w:t>偏差率=100% ×(投标人评标价－评标基准价)/评标基准价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trPr>
        <w:tc>
          <w:tcPr>
            <w:tcW w:w="3895" w:type="dxa"/>
            <w:gridSpan w:val="6"/>
            <w:vAlign w:val="center"/>
          </w:tcPr>
          <w:p>
            <w:pPr>
              <w:jc w:val="center"/>
              <w:rPr>
                <w:rFonts w:hint="eastAsia" w:ascii="宋体" w:hAnsi="宋体" w:cs="宋体"/>
                <w:b/>
                <w:szCs w:val="21"/>
                <w:highlight w:val="none"/>
              </w:rPr>
            </w:pPr>
            <w:r>
              <w:rPr>
                <w:rFonts w:hint="eastAsia" w:ascii="宋体" w:hAnsi="宋体" w:cs="宋体"/>
                <w:b/>
                <w:szCs w:val="21"/>
                <w:highlight w:val="none"/>
              </w:rPr>
              <w:t>评分因素与权重分值</w:t>
            </w:r>
          </w:p>
        </w:tc>
        <w:tc>
          <w:tcPr>
            <w:tcW w:w="5585" w:type="dxa"/>
            <w:vAlign w:val="center"/>
          </w:tcPr>
          <w:p>
            <w:pPr>
              <w:jc w:val="center"/>
              <w:rPr>
                <w:rFonts w:hint="eastAsia" w:ascii="宋体" w:hAnsi="宋体" w:cs="宋体"/>
                <w:b/>
                <w:szCs w:val="21"/>
                <w:highlight w:val="none"/>
              </w:rPr>
            </w:pPr>
            <w:r>
              <w:rPr>
                <w:rFonts w:hint="eastAsia" w:ascii="宋体" w:hAnsi="宋体" w:cs="宋体"/>
                <w:b/>
                <w:szCs w:val="21"/>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trPr>
        <w:tc>
          <w:tcPr>
            <w:tcW w:w="1418" w:type="dxa"/>
            <w:gridSpan w:val="2"/>
            <w:vAlign w:val="center"/>
          </w:tcPr>
          <w:p>
            <w:pPr>
              <w:jc w:val="center"/>
              <w:rPr>
                <w:rFonts w:hint="eastAsia" w:ascii="宋体" w:hAnsi="宋体" w:cs="宋体"/>
                <w:b/>
                <w:szCs w:val="21"/>
                <w:highlight w:val="none"/>
              </w:rPr>
            </w:pPr>
            <w:r>
              <w:rPr>
                <w:rFonts w:hint="eastAsia" w:ascii="宋体" w:hAnsi="宋体" w:cs="宋体"/>
                <w:b/>
                <w:szCs w:val="21"/>
                <w:highlight w:val="none"/>
              </w:rPr>
              <w:t>条款号</w:t>
            </w:r>
          </w:p>
        </w:tc>
        <w:tc>
          <w:tcPr>
            <w:tcW w:w="1198" w:type="dxa"/>
            <w:gridSpan w:val="2"/>
            <w:vAlign w:val="center"/>
          </w:tcPr>
          <w:p>
            <w:pPr>
              <w:jc w:val="center"/>
              <w:rPr>
                <w:rFonts w:hint="eastAsia" w:ascii="宋体" w:hAnsi="宋体" w:cs="宋体"/>
                <w:b/>
                <w:szCs w:val="21"/>
                <w:highlight w:val="none"/>
              </w:rPr>
            </w:pPr>
            <w:r>
              <w:rPr>
                <w:rFonts w:hint="eastAsia" w:ascii="宋体" w:hAnsi="宋体" w:cs="宋体"/>
                <w:b/>
                <w:szCs w:val="21"/>
                <w:highlight w:val="none"/>
              </w:rPr>
              <w:t>评分因素</w:t>
            </w:r>
          </w:p>
        </w:tc>
        <w:tc>
          <w:tcPr>
            <w:tcW w:w="1279" w:type="dxa"/>
            <w:gridSpan w:val="2"/>
            <w:vAlign w:val="center"/>
          </w:tcPr>
          <w:p>
            <w:pPr>
              <w:jc w:val="center"/>
              <w:rPr>
                <w:rFonts w:hint="eastAsia" w:ascii="宋体" w:hAnsi="宋体" w:cs="宋体"/>
                <w:b/>
                <w:szCs w:val="21"/>
                <w:highlight w:val="none"/>
              </w:rPr>
            </w:pPr>
            <w:r>
              <w:rPr>
                <w:rFonts w:hint="eastAsia" w:ascii="宋体" w:hAnsi="宋体" w:cs="宋体"/>
                <w:b/>
                <w:szCs w:val="21"/>
                <w:highlight w:val="none"/>
              </w:rPr>
              <w:t>评分因素权重分值</w:t>
            </w:r>
          </w:p>
        </w:tc>
        <w:tc>
          <w:tcPr>
            <w:tcW w:w="5585" w:type="dxa"/>
            <w:vAlign w:val="center"/>
          </w:tcPr>
          <w:p>
            <w:pPr>
              <w:jc w:val="center"/>
              <w:rPr>
                <w:rFonts w:hint="eastAsia" w:ascii="宋体" w:hAnsi="宋体" w:cs="宋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9" w:hRule="atLeast"/>
        </w:trPr>
        <w:tc>
          <w:tcPr>
            <w:tcW w:w="1418" w:type="dxa"/>
            <w:gridSpan w:val="2"/>
            <w:vAlign w:val="center"/>
          </w:tcPr>
          <w:p>
            <w:pPr>
              <w:jc w:val="center"/>
              <w:rPr>
                <w:rFonts w:hint="eastAsia" w:ascii="宋体" w:hAnsi="宋体" w:cs="宋体"/>
                <w:szCs w:val="21"/>
                <w:highlight w:val="none"/>
              </w:rPr>
            </w:pPr>
            <w:r>
              <w:rPr>
                <w:rFonts w:hint="eastAsia" w:ascii="宋体" w:hAnsi="宋体" w:cs="宋体"/>
                <w:szCs w:val="21"/>
                <w:highlight w:val="none"/>
              </w:rPr>
              <w:t>2.2.4</w:t>
            </w: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p>
        </w:tc>
        <w:tc>
          <w:tcPr>
            <w:tcW w:w="1198" w:type="dxa"/>
            <w:gridSpan w:val="2"/>
            <w:vAlign w:val="center"/>
          </w:tcPr>
          <w:p>
            <w:pPr>
              <w:jc w:val="center"/>
              <w:rPr>
                <w:rFonts w:hint="eastAsia" w:ascii="宋体" w:hAnsi="宋体" w:cs="宋体"/>
                <w:szCs w:val="21"/>
                <w:highlight w:val="none"/>
              </w:rPr>
            </w:pPr>
            <w:r>
              <w:rPr>
                <w:rFonts w:hint="eastAsia" w:ascii="宋体" w:hAnsi="宋体" w:cs="宋体"/>
                <w:szCs w:val="21"/>
                <w:highlight w:val="none"/>
              </w:rPr>
              <w:t>评标价</w:t>
            </w:r>
          </w:p>
        </w:tc>
        <w:tc>
          <w:tcPr>
            <w:tcW w:w="1279" w:type="dxa"/>
            <w:gridSpan w:val="2"/>
            <w:vAlign w:val="center"/>
          </w:tcPr>
          <w:p>
            <w:pPr>
              <w:jc w:val="center"/>
              <w:rPr>
                <w:rFonts w:hint="eastAsia" w:ascii="宋体" w:hAnsi="宋体" w:cs="宋体"/>
                <w:szCs w:val="21"/>
                <w:highlight w:val="none"/>
              </w:rPr>
            </w:pPr>
            <w:r>
              <w:rPr>
                <w:rFonts w:hint="eastAsia" w:ascii="宋体" w:hAnsi="宋体" w:cs="宋体"/>
                <w:szCs w:val="21"/>
                <w:highlight w:val="none"/>
                <w:u w:val="single"/>
                <w:lang w:val="en-US" w:eastAsia="zh-CN"/>
              </w:rPr>
              <w:t>95</w:t>
            </w:r>
            <w:r>
              <w:rPr>
                <w:rFonts w:hint="eastAsia" w:ascii="宋体" w:hAnsi="宋体" w:cs="宋体"/>
                <w:szCs w:val="21"/>
                <w:highlight w:val="none"/>
              </w:rPr>
              <w:t>分</w:t>
            </w:r>
          </w:p>
        </w:tc>
        <w:tc>
          <w:tcPr>
            <w:tcW w:w="5585" w:type="dxa"/>
            <w:vAlign w:val="center"/>
          </w:tcPr>
          <w:p>
            <w:pPr>
              <w:spacing w:line="400" w:lineRule="exact"/>
              <w:jc w:val="left"/>
              <w:rPr>
                <w:rFonts w:hint="eastAsia" w:ascii="宋体" w:hAnsi="宋体" w:cs="宋体"/>
                <w:b/>
                <w:bCs/>
                <w:szCs w:val="21"/>
                <w:highlight w:val="none"/>
              </w:rPr>
            </w:pPr>
            <w:r>
              <w:rPr>
                <w:rFonts w:hint="eastAsia" w:ascii="宋体" w:hAnsi="宋体" w:cs="宋体"/>
                <w:b/>
                <w:bCs/>
                <w:szCs w:val="21"/>
                <w:highlight w:val="none"/>
                <w:lang w:val="en-US" w:eastAsia="zh-CN"/>
              </w:rPr>
              <w:t>95</w:t>
            </w:r>
            <w:r>
              <w:rPr>
                <w:rFonts w:hint="eastAsia" w:ascii="宋体" w:hAnsi="宋体" w:cs="宋体"/>
                <w:b/>
                <w:bCs/>
                <w:szCs w:val="21"/>
                <w:highlight w:val="none"/>
              </w:rPr>
              <w:t>分</w:t>
            </w:r>
          </w:p>
          <w:p>
            <w:pPr>
              <w:spacing w:line="400" w:lineRule="exact"/>
              <w:jc w:val="left"/>
              <w:rPr>
                <w:rFonts w:hint="eastAsia" w:ascii="宋体" w:hAnsi="宋体" w:cs="宋体"/>
                <w:szCs w:val="21"/>
                <w:highlight w:val="none"/>
              </w:rPr>
            </w:pPr>
            <w:r>
              <w:rPr>
                <w:rFonts w:hint="eastAsia" w:ascii="宋体" w:hAnsi="宋体" w:cs="宋体"/>
                <w:szCs w:val="21"/>
                <w:highlight w:val="none"/>
              </w:rPr>
              <w:t>评标价得分计算公式：</w:t>
            </w:r>
          </w:p>
          <w:p>
            <w:pPr>
              <w:numPr>
                <w:ilvl w:val="0"/>
                <w:numId w:val="13"/>
              </w:numPr>
              <w:spacing w:line="400" w:lineRule="exact"/>
              <w:jc w:val="left"/>
              <w:rPr>
                <w:rFonts w:hint="eastAsia" w:ascii="宋体" w:hAnsi="宋体" w:cs="宋体"/>
                <w:szCs w:val="21"/>
                <w:highlight w:val="none"/>
              </w:rPr>
            </w:pPr>
            <w:r>
              <w:rPr>
                <w:rFonts w:hint="eastAsia" w:ascii="宋体" w:hAnsi="宋体" w:cs="宋体"/>
                <w:szCs w:val="21"/>
                <w:highlight w:val="none"/>
              </w:rPr>
              <w:t>如果投标人的评标价&gt;评标基准价，则评标价得分</w:t>
            </w:r>
            <w:r>
              <w:rPr>
                <w:rFonts w:hint="eastAsia" w:ascii="宋体" w:hAnsi="宋体" w:cs="宋体"/>
                <w:szCs w:val="21"/>
                <w:highlight w:val="none"/>
                <w:lang w:val="en-US" w:eastAsia="zh-CN"/>
              </w:rPr>
              <w:t>=95</w:t>
            </w:r>
            <w:r>
              <w:rPr>
                <w:rFonts w:hint="eastAsia" w:ascii="宋体" w:hAnsi="宋体" w:cs="宋体"/>
                <w:szCs w:val="21"/>
                <w:highlight w:val="none"/>
              </w:rPr>
              <w:t>-偏差率×100×3；</w:t>
            </w:r>
          </w:p>
          <w:p>
            <w:pPr>
              <w:numPr>
                <w:ilvl w:val="0"/>
                <w:numId w:val="13"/>
              </w:numPr>
              <w:spacing w:line="400" w:lineRule="exact"/>
              <w:jc w:val="left"/>
              <w:rPr>
                <w:rFonts w:hint="eastAsia" w:ascii="宋体" w:hAnsi="宋体" w:cs="宋体"/>
                <w:szCs w:val="21"/>
                <w:highlight w:val="none"/>
              </w:rPr>
            </w:pPr>
            <w:r>
              <w:rPr>
                <w:rFonts w:hint="eastAsia" w:ascii="宋体" w:hAnsi="宋体" w:cs="宋体"/>
                <w:szCs w:val="21"/>
                <w:highlight w:val="none"/>
              </w:rPr>
              <w:t>如果投标人的评标价≦评标基准价，则评标价得分=</w:t>
            </w:r>
            <w:r>
              <w:rPr>
                <w:rFonts w:hint="eastAsia" w:ascii="宋体" w:hAnsi="宋体" w:cs="宋体"/>
                <w:szCs w:val="21"/>
                <w:highlight w:val="none"/>
                <w:lang w:val="en-US" w:eastAsia="zh-CN"/>
              </w:rPr>
              <w:t>95</w:t>
            </w:r>
            <w:r>
              <w:rPr>
                <w:rFonts w:hint="eastAsia" w:ascii="宋体" w:hAnsi="宋体" w:cs="宋体"/>
                <w:szCs w:val="21"/>
                <w:highlight w:val="none"/>
              </w:rPr>
              <w:t>+偏差率×100×1.</w:t>
            </w:r>
          </w:p>
          <w:p>
            <w:pPr>
              <w:spacing w:line="400" w:lineRule="exact"/>
              <w:jc w:val="left"/>
              <w:rPr>
                <w:rFonts w:hint="eastAsia" w:ascii="宋体" w:hAnsi="宋体" w:cs="宋体"/>
                <w:szCs w:val="21"/>
                <w:highlight w:val="none"/>
              </w:rPr>
            </w:pPr>
            <w:r>
              <w:rPr>
                <w:rFonts w:hint="eastAsia" w:ascii="宋体" w:hAnsi="宋体" w:cs="宋体"/>
                <w:szCs w:val="21"/>
                <w:highlight w:val="none"/>
              </w:rPr>
              <w:t>注：评标价得分四舍五入至小数点后</w:t>
            </w:r>
            <w:r>
              <w:rPr>
                <w:rFonts w:hint="eastAsia" w:ascii="宋体" w:hAnsi="宋体" w:cs="宋体"/>
                <w:szCs w:val="21"/>
                <w:highlight w:val="none"/>
                <w:lang w:eastAsia="zh-CN"/>
              </w:rPr>
              <w:t>两</w:t>
            </w:r>
            <w:r>
              <w:rPr>
                <w:rFonts w:hint="eastAsia" w:ascii="宋体" w:hAnsi="宋体" w:cs="宋体"/>
                <w:szCs w:val="21"/>
                <w:highlight w:val="none"/>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9" w:hRule="atLeast"/>
        </w:trPr>
        <w:tc>
          <w:tcPr>
            <w:tcW w:w="1418" w:type="dxa"/>
            <w:gridSpan w:val="2"/>
            <w:vAlign w:val="center"/>
          </w:tcPr>
          <w:p>
            <w:pPr>
              <w:jc w:val="center"/>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2.2.4（2）</w:t>
            </w:r>
          </w:p>
        </w:tc>
        <w:tc>
          <w:tcPr>
            <w:tcW w:w="1198" w:type="dxa"/>
            <w:gridSpan w:val="2"/>
            <w:vAlign w:val="center"/>
          </w:tcPr>
          <w:p>
            <w:pPr>
              <w:jc w:val="center"/>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其他因素</w:t>
            </w:r>
          </w:p>
        </w:tc>
        <w:tc>
          <w:tcPr>
            <w:tcW w:w="1279" w:type="dxa"/>
            <w:gridSpan w:val="2"/>
            <w:vAlign w:val="center"/>
          </w:tcPr>
          <w:p>
            <w:pPr>
              <w:jc w:val="center"/>
              <w:rPr>
                <w:rFonts w:hint="eastAsia" w:ascii="宋体" w:hAnsi="宋体" w:cs="宋体"/>
                <w:szCs w:val="21"/>
                <w:highlight w:val="none"/>
                <w:u w:val="single"/>
                <w:lang w:val="en-US" w:eastAsia="zh-CN"/>
              </w:rPr>
            </w:pPr>
            <w:r>
              <w:rPr>
                <w:rFonts w:hint="eastAsia" w:ascii="宋体" w:hAnsi="宋体" w:cs="宋体"/>
                <w:szCs w:val="21"/>
                <w:highlight w:val="none"/>
                <w:u w:val="single"/>
                <w:lang w:val="en-US" w:eastAsia="zh-CN"/>
              </w:rPr>
              <w:t>5分</w:t>
            </w:r>
          </w:p>
        </w:tc>
        <w:tc>
          <w:tcPr>
            <w:tcW w:w="5585" w:type="dxa"/>
            <w:vAlign w:val="center"/>
          </w:tcPr>
          <w:p>
            <w:pPr>
              <w:spacing w:line="400" w:lineRule="exact"/>
              <w:ind w:firstLine="0"/>
              <w:rPr>
                <w:rFonts w:hint="eastAsia" w:ascii="宋体" w:hAnsi="宋体"/>
                <w:b/>
                <w:bCs/>
                <w:szCs w:val="21"/>
                <w:highlight w:val="none"/>
                <w:lang w:eastAsia="zh-CN"/>
              </w:rPr>
            </w:pPr>
            <w:r>
              <w:rPr>
                <w:rFonts w:hint="eastAsia" w:ascii="宋体" w:hAnsi="宋体"/>
                <w:b/>
                <w:bCs/>
                <w:szCs w:val="21"/>
                <w:highlight w:val="none"/>
                <w:lang w:eastAsia="zh-CN"/>
              </w:rPr>
              <w:t>履约信誉情况：</w:t>
            </w:r>
          </w:p>
          <w:p>
            <w:pPr>
              <w:numPr>
                <w:ilvl w:val="0"/>
                <w:numId w:val="14"/>
              </w:numPr>
              <w:spacing w:line="400" w:lineRule="exact"/>
              <w:rPr>
                <w:rFonts w:hint="eastAsia" w:ascii="宋体" w:hAnsi="宋体" w:cs="宋体"/>
                <w:szCs w:val="21"/>
                <w:highlight w:val="none"/>
                <w:lang w:val="en-US" w:eastAsia="zh-CN"/>
              </w:rPr>
            </w:pPr>
            <w:r>
              <w:rPr>
                <w:rFonts w:hint="eastAsia" w:ascii="宋体" w:hAnsi="宋体" w:cs="宋体"/>
                <w:szCs w:val="21"/>
                <w:highlight w:val="none"/>
                <w:lang w:val="en-US" w:eastAsia="zh-CN"/>
              </w:rPr>
              <w:t>信用等级（2.5分）</w:t>
            </w:r>
          </w:p>
          <w:p>
            <w:pPr>
              <w:numPr>
                <w:ilvl w:val="0"/>
                <w:numId w:val="0"/>
              </w:numPr>
              <w:spacing w:line="400" w:lineRule="exact"/>
              <w:rPr>
                <w:rFonts w:hint="eastAsia" w:ascii="宋体" w:hAnsi="宋体" w:cs="宋体"/>
                <w:szCs w:val="21"/>
                <w:highlight w:val="none"/>
                <w:lang w:val="en-US" w:eastAsia="zh-CN"/>
              </w:rPr>
            </w:pPr>
            <w:r>
              <w:rPr>
                <w:rFonts w:hint="eastAsia" w:ascii="宋体" w:hAnsi="宋体" w:cs="宋体"/>
                <w:szCs w:val="21"/>
                <w:highlight w:val="none"/>
                <w:lang w:val="en-US" w:eastAsia="zh-CN"/>
              </w:rPr>
              <w:t>AA、A、B、C级单位的信用等级分得分分别为2.50、2.40、2.25、1.75分。</w:t>
            </w:r>
          </w:p>
          <w:p>
            <w:pPr>
              <w:numPr>
                <w:ilvl w:val="0"/>
                <w:numId w:val="0"/>
              </w:numPr>
              <w:spacing w:line="400" w:lineRule="exact"/>
              <w:rPr>
                <w:rFonts w:hint="eastAsia" w:ascii="宋体" w:hAnsi="宋体" w:cs="宋体"/>
                <w:szCs w:val="21"/>
                <w:highlight w:val="none"/>
                <w:lang w:val="en-US" w:eastAsia="zh-CN"/>
              </w:rPr>
            </w:pPr>
            <w:r>
              <w:rPr>
                <w:rFonts w:hint="eastAsia" w:ascii="宋体" w:hAnsi="宋体" w:cs="宋体"/>
                <w:szCs w:val="21"/>
                <w:highlight w:val="none"/>
                <w:lang w:val="en-US" w:eastAsia="zh-CN"/>
              </w:rPr>
              <w:t>注：①上述信用等级指的是广东省交通运输厅最新一年度的信用评价。如无广东省最新一年度信用等级而上一年度有广东省信用等级的，则其原信用等级可延续一年。</w:t>
            </w:r>
          </w:p>
          <w:p>
            <w:pPr>
              <w:numPr>
                <w:ilvl w:val="0"/>
                <w:numId w:val="0"/>
              </w:numPr>
              <w:spacing w:line="400" w:lineRule="exact"/>
              <w:ind w:firstLine="420" w:firstLineChars="200"/>
              <w:rPr>
                <w:rFonts w:hint="eastAsia" w:ascii="宋体" w:hAnsi="宋体" w:cs="宋体"/>
                <w:szCs w:val="21"/>
                <w:highlight w:val="none"/>
                <w:lang w:val="en-US" w:eastAsia="zh-CN"/>
              </w:rPr>
            </w:pPr>
            <w:r>
              <w:rPr>
                <w:rFonts w:hint="eastAsia" w:ascii="宋体" w:hAnsi="宋体" w:cs="宋体"/>
                <w:szCs w:val="21"/>
                <w:highlight w:val="none"/>
                <w:lang w:val="en-US" w:eastAsia="zh-CN"/>
              </w:rPr>
              <w:t>②信用等级延续1年后仍无信用评价等级的，按照初次进入我省确定，原则上按B 级对待，但下列情况除外：最新一年度的全国综合评价结果为C级或D级的，则按最新一年度的全国综合评价结果等级对待；或最新一年度的全国综合评价结果未被评为C 级或D 级的，但在我省原评价等级为D级的，则按C 级对待。</w:t>
            </w:r>
          </w:p>
          <w:p>
            <w:pPr>
              <w:numPr>
                <w:ilvl w:val="0"/>
                <w:numId w:val="0"/>
              </w:numPr>
              <w:spacing w:line="400" w:lineRule="exact"/>
              <w:ind w:firstLine="420" w:firstLineChars="200"/>
              <w:rPr>
                <w:rFonts w:hint="eastAsia" w:ascii="宋体" w:hAnsi="宋体" w:cs="宋体"/>
                <w:szCs w:val="21"/>
                <w:highlight w:val="none"/>
                <w:lang w:val="en-US" w:eastAsia="zh-CN"/>
              </w:rPr>
            </w:pPr>
            <w:r>
              <w:rPr>
                <w:rFonts w:hint="eastAsia" w:ascii="宋体" w:hAnsi="宋体" w:cs="宋体"/>
                <w:szCs w:val="21"/>
                <w:highlight w:val="none"/>
                <w:lang w:val="en-US" w:eastAsia="zh-CN"/>
              </w:rPr>
              <w:t>③AA、A级单位是指使用广东省信用评价等级申请承诺书的单位。未提交申请承诺书使用AA、A时，在评标过程中，AA级信用等级企业按A级对待、A级信用等级企业按B级对待。</w:t>
            </w:r>
          </w:p>
          <w:p>
            <w:pPr>
              <w:numPr>
                <w:ilvl w:val="0"/>
                <w:numId w:val="14"/>
              </w:numPr>
              <w:spacing w:line="400" w:lineRule="exact"/>
              <w:ind w:left="0" w:leftChars="0" w:firstLine="0" w:firstLineChars="0"/>
              <w:rPr>
                <w:rFonts w:hint="eastAsia" w:ascii="宋体" w:hAnsi="宋体" w:cs="宋体"/>
                <w:szCs w:val="21"/>
                <w:highlight w:val="none"/>
                <w:lang w:val="en-US" w:eastAsia="zh-CN"/>
              </w:rPr>
            </w:pPr>
            <w:r>
              <w:rPr>
                <w:rFonts w:hint="eastAsia" w:ascii="宋体" w:hAnsi="宋体" w:cs="宋体"/>
                <w:szCs w:val="21"/>
                <w:highlight w:val="none"/>
                <w:lang w:val="en-US" w:eastAsia="zh-CN"/>
              </w:rPr>
              <w:t>履约情况（2.5分）</w:t>
            </w:r>
          </w:p>
          <w:p>
            <w:pPr>
              <w:numPr>
                <w:ilvl w:val="0"/>
                <w:numId w:val="0"/>
              </w:numPr>
              <w:spacing w:line="400" w:lineRule="exact"/>
              <w:ind w:leftChars="0"/>
              <w:rPr>
                <w:rFonts w:hint="eastAsia" w:ascii="宋体" w:hAnsi="宋体" w:cs="宋体"/>
                <w:szCs w:val="21"/>
                <w:highlight w:val="none"/>
                <w:lang w:val="en-US" w:eastAsia="zh-CN"/>
              </w:rPr>
            </w:pPr>
            <w:r>
              <w:rPr>
                <w:rFonts w:hint="eastAsia" w:ascii="宋体" w:hAnsi="宋体" w:cs="宋体"/>
                <w:szCs w:val="21"/>
                <w:highlight w:val="none"/>
                <w:lang w:val="en-US" w:eastAsia="zh-CN"/>
              </w:rPr>
              <w:t>若没有出现下述情况得满分，得满分2.5分。</w:t>
            </w:r>
          </w:p>
          <w:p>
            <w:pPr>
              <w:numPr>
                <w:ilvl w:val="0"/>
                <w:numId w:val="0"/>
              </w:numPr>
              <w:spacing w:line="400" w:lineRule="exact"/>
              <w:ind w:leftChars="0"/>
              <w:rPr>
                <w:rFonts w:hint="eastAsia" w:ascii="宋体" w:hAnsi="宋体" w:cs="宋体"/>
                <w:szCs w:val="21"/>
                <w:highlight w:val="none"/>
                <w:lang w:val="en-US" w:eastAsia="zh-CN"/>
              </w:rPr>
            </w:pPr>
            <w:r>
              <w:rPr>
                <w:rFonts w:hint="eastAsia" w:ascii="宋体" w:hAnsi="宋体" w:cs="宋体"/>
                <w:szCs w:val="21"/>
                <w:highlight w:val="none"/>
                <w:lang w:val="en-US" w:eastAsia="zh-CN"/>
              </w:rPr>
              <w:t>自__年__月__日至投标文件递交截止日（投标文件递交截止日前1年内），因公路工程（含附属设施）质量、安全、履约或招标问题等原因被：</w:t>
            </w:r>
          </w:p>
          <w:p>
            <w:pPr>
              <w:numPr>
                <w:ilvl w:val="0"/>
                <w:numId w:val="15"/>
              </w:numPr>
              <w:spacing w:line="400" w:lineRule="exact"/>
              <w:ind w:leftChars="0"/>
              <w:rPr>
                <w:rFonts w:hint="eastAsia" w:ascii="宋体" w:hAnsi="宋体" w:cs="宋体"/>
                <w:szCs w:val="21"/>
                <w:highlight w:val="none"/>
                <w:lang w:val="en-US" w:eastAsia="zh-CN"/>
              </w:rPr>
            </w:pPr>
            <w:r>
              <w:rPr>
                <w:rFonts w:hint="eastAsia" w:ascii="宋体" w:hAnsi="宋体" w:cs="宋体"/>
                <w:szCs w:val="21"/>
                <w:highlight w:val="none"/>
                <w:lang w:val="en-US" w:eastAsia="zh-CN"/>
              </w:rPr>
              <w:t>交通运输部通报批评的，扣2.5分/次；</w:t>
            </w:r>
          </w:p>
          <w:p>
            <w:pPr>
              <w:numPr>
                <w:ilvl w:val="0"/>
                <w:numId w:val="15"/>
              </w:numPr>
              <w:spacing w:line="400" w:lineRule="exact"/>
              <w:ind w:leftChars="0"/>
              <w:rPr>
                <w:rFonts w:hint="eastAsia" w:ascii="宋体" w:hAnsi="宋体" w:cs="宋体"/>
                <w:szCs w:val="21"/>
                <w:highlight w:val="none"/>
                <w:lang w:val="en-US" w:eastAsia="zh-CN"/>
              </w:rPr>
            </w:pPr>
            <w:r>
              <w:rPr>
                <w:rFonts w:hint="eastAsia" w:ascii="宋体" w:hAnsi="宋体" w:cs="宋体"/>
                <w:szCs w:val="21"/>
                <w:highlight w:val="none"/>
                <w:lang w:val="en-US" w:eastAsia="zh-CN"/>
              </w:rPr>
              <w:t>广东省交通运输厅通报批评的，扣1.5分/次；</w:t>
            </w:r>
          </w:p>
          <w:p>
            <w:pPr>
              <w:numPr>
                <w:ilvl w:val="0"/>
                <w:numId w:val="15"/>
              </w:numPr>
              <w:spacing w:line="400" w:lineRule="exact"/>
              <w:ind w:leftChars="0"/>
              <w:rPr>
                <w:rFonts w:hint="eastAsia" w:ascii="宋体" w:hAnsi="宋体" w:cs="宋体"/>
                <w:szCs w:val="21"/>
                <w:highlight w:val="none"/>
                <w:lang w:val="en-US" w:eastAsia="zh-CN"/>
              </w:rPr>
            </w:pPr>
            <w:r>
              <w:rPr>
                <w:rFonts w:hint="eastAsia" w:ascii="宋体" w:hAnsi="宋体" w:cs="宋体"/>
                <w:szCs w:val="21"/>
                <w:highlight w:val="none"/>
                <w:lang w:val="en-US" w:eastAsia="zh-CN"/>
              </w:rPr>
              <w:t>项目所在地地市级交通运输局（委）、本项目招标人或招标人上级管理单位通报批评的，扣0.5分/次；</w:t>
            </w:r>
          </w:p>
          <w:p>
            <w:pPr>
              <w:numPr>
                <w:ilvl w:val="0"/>
                <w:numId w:val="0"/>
              </w:numPr>
              <w:spacing w:line="400" w:lineRule="exact"/>
              <w:rPr>
                <w:rFonts w:hint="eastAsia" w:ascii="宋体" w:hAnsi="宋体" w:cs="宋体"/>
                <w:szCs w:val="21"/>
                <w:highlight w:val="none"/>
                <w:lang w:val="en-US" w:eastAsia="zh-CN"/>
              </w:rPr>
            </w:pPr>
            <w:r>
              <w:rPr>
                <w:rFonts w:hint="eastAsia" w:ascii="宋体" w:hAnsi="宋体" w:cs="宋体"/>
                <w:szCs w:val="21"/>
                <w:highlight w:val="none"/>
                <w:lang w:val="en-US" w:eastAsia="zh-CN"/>
              </w:rPr>
              <w:t xml:space="preserve">    同一事项同时被多个部门通报批评只按最高的扣分计算1次。如果扣完本项分值，可以从总分中扣。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9480" w:type="dxa"/>
            <w:gridSpan w:val="7"/>
            <w:vAlign w:val="top"/>
          </w:tcPr>
          <w:p>
            <w:pPr>
              <w:spacing w:line="400" w:lineRule="atLeast"/>
              <w:jc w:val="left"/>
              <w:rPr>
                <w:rFonts w:hint="eastAsia" w:ascii="宋体" w:hAnsi="宋体" w:cs="宋体"/>
                <w:szCs w:val="21"/>
                <w:highlight w:val="none"/>
              </w:rPr>
            </w:pPr>
            <w:r>
              <w:rPr>
                <w:rFonts w:hint="eastAsia" w:ascii="宋体" w:hAnsi="宋体" w:cs="宋体"/>
                <w:b/>
                <w:sz w:val="24"/>
                <w:highlight w:val="none"/>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 w:hRule="atLeast"/>
        </w:trPr>
        <w:tc>
          <w:tcPr>
            <w:tcW w:w="1319" w:type="dxa"/>
            <w:vAlign w:val="center"/>
          </w:tcPr>
          <w:p>
            <w:pPr>
              <w:spacing w:line="400" w:lineRule="atLeast"/>
              <w:jc w:val="center"/>
              <w:rPr>
                <w:rFonts w:hint="eastAsia" w:ascii="宋体" w:hAnsi="宋体" w:cs="宋体"/>
                <w:szCs w:val="21"/>
                <w:highlight w:val="none"/>
              </w:rPr>
            </w:pPr>
            <w:r>
              <w:rPr>
                <w:rFonts w:hint="eastAsia" w:ascii="宋体" w:hAnsi="宋体" w:cs="宋体"/>
                <w:szCs w:val="21"/>
                <w:highlight w:val="none"/>
              </w:rPr>
              <w:t>条款号</w:t>
            </w:r>
          </w:p>
        </w:tc>
        <w:tc>
          <w:tcPr>
            <w:tcW w:w="8161" w:type="dxa"/>
            <w:gridSpan w:val="6"/>
            <w:vAlign w:val="center"/>
          </w:tcPr>
          <w:p>
            <w:pPr>
              <w:spacing w:line="400" w:lineRule="atLeast"/>
              <w:jc w:val="center"/>
              <w:rPr>
                <w:rFonts w:hint="eastAsia" w:ascii="宋体" w:hAnsi="宋体" w:cs="宋体"/>
                <w:szCs w:val="21"/>
                <w:highlight w:val="none"/>
              </w:rPr>
            </w:pPr>
            <w:r>
              <w:rPr>
                <w:rFonts w:hint="eastAsia" w:ascii="宋体" w:hAnsi="宋体" w:cs="宋体"/>
                <w:szCs w:val="21"/>
                <w:highlight w:val="none"/>
              </w:rPr>
              <w:t>补充或修改的内容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 w:hRule="atLeast"/>
        </w:trPr>
        <w:tc>
          <w:tcPr>
            <w:tcW w:w="1319" w:type="dxa"/>
            <w:vAlign w:val="center"/>
          </w:tcPr>
          <w:p>
            <w:pPr>
              <w:spacing w:line="400" w:lineRule="atLeast"/>
              <w:jc w:val="center"/>
              <w:rPr>
                <w:rFonts w:hint="eastAsia" w:ascii="宋体" w:hAnsi="宋体" w:cs="宋体"/>
                <w:szCs w:val="21"/>
                <w:highlight w:val="none"/>
              </w:rPr>
            </w:pPr>
            <w:r>
              <w:rPr>
                <w:rFonts w:hint="eastAsia" w:ascii="宋体" w:hAnsi="宋体" w:cs="宋体"/>
                <w:szCs w:val="21"/>
                <w:highlight w:val="none"/>
              </w:rPr>
              <w:t>1</w:t>
            </w:r>
          </w:p>
        </w:tc>
        <w:tc>
          <w:tcPr>
            <w:tcW w:w="8161" w:type="dxa"/>
            <w:gridSpan w:val="6"/>
            <w:vAlign w:val="center"/>
          </w:tcPr>
          <w:p>
            <w:pPr>
              <w:spacing w:line="360" w:lineRule="exact"/>
              <w:rPr>
                <w:rFonts w:hint="eastAsia" w:ascii="宋体" w:hAnsi="宋体"/>
                <w:szCs w:val="21"/>
                <w:highlight w:val="none"/>
              </w:rPr>
            </w:pPr>
            <w:r>
              <w:rPr>
                <w:rFonts w:hint="eastAsia" w:ascii="宋体" w:hAnsi="宋体"/>
                <w:szCs w:val="21"/>
                <w:highlight w:val="none"/>
              </w:rPr>
              <w:t>将评标办法范本原文第1条“评标方法”改为“评标方法、组织及工作程序”，并且原文内容修改如下：</w:t>
            </w:r>
          </w:p>
          <w:p>
            <w:pPr>
              <w:spacing w:line="360" w:lineRule="exact"/>
              <w:rPr>
                <w:rFonts w:hint="eastAsia" w:ascii="宋体" w:hAnsi="宋体"/>
                <w:szCs w:val="21"/>
                <w:highlight w:val="none"/>
              </w:rPr>
            </w:pPr>
            <w:r>
              <w:rPr>
                <w:rFonts w:hint="eastAsia" w:ascii="宋体" w:hAnsi="宋体"/>
                <w:szCs w:val="21"/>
                <w:highlight w:val="none"/>
              </w:rPr>
              <w:t>1.1评标方法</w:t>
            </w:r>
          </w:p>
          <w:p>
            <w:pPr>
              <w:spacing w:line="360" w:lineRule="exact"/>
              <w:ind w:firstLine="420" w:firstLineChars="200"/>
              <w:rPr>
                <w:rFonts w:hint="eastAsia" w:ascii="宋体" w:hAnsi="宋体"/>
                <w:szCs w:val="21"/>
                <w:highlight w:val="none"/>
              </w:rPr>
            </w:pPr>
            <w:r>
              <w:rPr>
                <w:rFonts w:hint="eastAsia" w:ascii="宋体" w:hAnsi="宋体"/>
                <w:szCs w:val="21"/>
                <w:highlight w:val="none"/>
              </w:rPr>
              <w:t>本次评标采用</w:t>
            </w:r>
            <w:r>
              <w:rPr>
                <w:rFonts w:hint="eastAsia" w:ascii="宋体" w:hAnsi="宋体"/>
                <w:b/>
                <w:bCs/>
                <w:szCs w:val="21"/>
                <w:highlight w:val="none"/>
                <w:lang w:eastAsia="zh-CN"/>
              </w:rPr>
              <w:t>双信封</w:t>
            </w:r>
            <w:r>
              <w:rPr>
                <w:rFonts w:hint="eastAsia" w:ascii="宋体" w:hAnsi="宋体"/>
                <w:b/>
                <w:szCs w:val="21"/>
                <w:highlight w:val="none"/>
              </w:rPr>
              <w:t>合理低价法</w:t>
            </w:r>
            <w:r>
              <w:rPr>
                <w:rFonts w:hint="eastAsia" w:ascii="宋体" w:hAnsi="宋体"/>
                <w:szCs w:val="21"/>
                <w:highlight w:val="none"/>
              </w:rPr>
              <w:t>。评标委员会对满足招标文件实质性要求的投标文件，按照本章第2.2款规定的评分标准进行打分，并按得分由高到低顺序推荐中标候选人</w:t>
            </w:r>
            <w:r>
              <w:rPr>
                <w:rFonts w:hint="eastAsia" w:ascii="宋体" w:hAnsi="宋体"/>
                <w:szCs w:val="21"/>
                <w:highlight w:val="none"/>
                <w:lang w:eastAsia="zh-CN"/>
              </w:rPr>
              <w:t>，但投标报价低于其成本的除外。综合评分相等时，评标委员会应按照评标办法前附表规定的优先次序推荐中标候选人或确定中标人。</w:t>
            </w:r>
          </w:p>
          <w:p>
            <w:pPr>
              <w:spacing w:line="360" w:lineRule="exact"/>
              <w:rPr>
                <w:rFonts w:hint="eastAsia" w:ascii="宋体" w:hAnsi="宋体"/>
                <w:szCs w:val="21"/>
                <w:highlight w:val="none"/>
              </w:rPr>
            </w:pPr>
            <w:r>
              <w:rPr>
                <w:rFonts w:hint="eastAsia" w:ascii="宋体" w:hAnsi="宋体"/>
                <w:szCs w:val="21"/>
                <w:highlight w:val="none"/>
              </w:rPr>
              <w:t>1.2评标组织</w:t>
            </w:r>
          </w:p>
          <w:p>
            <w:pPr>
              <w:spacing w:line="360" w:lineRule="exact"/>
              <w:rPr>
                <w:rFonts w:hint="eastAsia" w:ascii="宋体" w:hAnsi="宋体"/>
                <w:szCs w:val="21"/>
                <w:highlight w:val="none"/>
              </w:rPr>
            </w:pPr>
            <w:r>
              <w:rPr>
                <w:rFonts w:hint="eastAsia" w:ascii="宋体" w:hAnsi="宋体"/>
                <w:szCs w:val="21"/>
                <w:highlight w:val="none"/>
              </w:rPr>
              <w:t>1.2.1协助工作组</w:t>
            </w:r>
          </w:p>
          <w:p>
            <w:pPr>
              <w:pStyle w:val="9"/>
              <w:snapToGrid w:val="0"/>
              <w:spacing w:after="0" w:afterLines="0" w:line="360" w:lineRule="exact"/>
              <w:ind w:left="0" w:leftChars="0" w:firstLine="420" w:firstLineChars="200"/>
              <w:rPr>
                <w:rFonts w:hint="eastAsia" w:ascii="宋体" w:hAnsi="宋体"/>
                <w:sz w:val="21"/>
                <w:szCs w:val="21"/>
                <w:highlight w:val="none"/>
              </w:rPr>
            </w:pPr>
            <w:r>
              <w:rPr>
                <w:rFonts w:hint="eastAsia" w:ascii="宋体" w:hAnsi="宋体"/>
                <w:sz w:val="21"/>
                <w:szCs w:val="21"/>
                <w:highlight w:val="none"/>
              </w:rPr>
              <w:t>招标人可在评标工作开始前成立协助工作组，选派熟悉招标工作、政治素质高的人员组成，协助评标委员会工作。协助工作组人员的具体数量由招标人视评标工作量确定。</w:t>
            </w:r>
          </w:p>
          <w:p>
            <w:pPr>
              <w:spacing w:line="360" w:lineRule="exact"/>
              <w:ind w:firstLine="420" w:firstLineChars="200"/>
              <w:rPr>
                <w:rFonts w:hint="eastAsia" w:ascii="宋体" w:hAnsi="宋体"/>
                <w:szCs w:val="21"/>
                <w:highlight w:val="none"/>
              </w:rPr>
            </w:pPr>
            <w:r>
              <w:rPr>
                <w:rFonts w:hint="eastAsia" w:ascii="宋体" w:hAnsi="宋体"/>
                <w:szCs w:val="21"/>
                <w:highlight w:val="none"/>
              </w:rPr>
              <w:t>招标人可以协助评标委员会开展下列工作并提供相关信息：</w:t>
            </w:r>
          </w:p>
          <w:p>
            <w:pPr>
              <w:spacing w:line="360" w:lineRule="exact"/>
              <w:ind w:firstLine="220" w:firstLineChars="105"/>
              <w:rPr>
                <w:rFonts w:hint="eastAsia" w:ascii="宋体" w:hAnsi="宋体"/>
                <w:szCs w:val="21"/>
                <w:highlight w:val="none"/>
              </w:rPr>
            </w:pPr>
            <w:r>
              <w:rPr>
                <w:rFonts w:hint="eastAsia" w:ascii="宋体" w:hAnsi="宋体"/>
                <w:szCs w:val="21"/>
                <w:highlight w:val="none"/>
              </w:rPr>
              <w:t>（1）根据招标文件，编制评标使用的相应表格；</w:t>
            </w:r>
          </w:p>
          <w:p>
            <w:pPr>
              <w:spacing w:line="360" w:lineRule="exact"/>
              <w:ind w:firstLine="220" w:firstLineChars="105"/>
              <w:rPr>
                <w:rFonts w:hint="eastAsia" w:ascii="宋体" w:hAnsi="宋体"/>
                <w:szCs w:val="21"/>
                <w:highlight w:val="none"/>
              </w:rPr>
            </w:pPr>
            <w:r>
              <w:rPr>
                <w:rFonts w:hint="eastAsia" w:ascii="宋体" w:hAnsi="宋体"/>
                <w:szCs w:val="21"/>
                <w:highlight w:val="none"/>
              </w:rPr>
              <w:t>（2）对投标报价进行算术性校核（如采用固化工程量清单，本步骤省略）；</w:t>
            </w:r>
          </w:p>
          <w:p>
            <w:pPr>
              <w:spacing w:line="360" w:lineRule="exact"/>
              <w:ind w:firstLine="220" w:firstLineChars="105"/>
              <w:rPr>
                <w:rFonts w:hint="eastAsia" w:ascii="宋体" w:hAnsi="宋体"/>
                <w:szCs w:val="21"/>
                <w:highlight w:val="none"/>
                <w:lang w:eastAsia="zh-CN"/>
              </w:rPr>
            </w:pPr>
            <w:r>
              <w:rPr>
                <w:rFonts w:hint="eastAsia" w:ascii="宋体" w:hAnsi="宋体"/>
                <w:szCs w:val="21"/>
                <w:highlight w:val="none"/>
                <w:lang w:eastAsia="zh-CN"/>
              </w:rPr>
              <w:t>（</w:t>
            </w:r>
            <w:r>
              <w:rPr>
                <w:rFonts w:hint="eastAsia" w:ascii="宋体" w:hAnsi="宋体"/>
                <w:szCs w:val="21"/>
                <w:highlight w:val="none"/>
                <w:lang w:val="en-US" w:eastAsia="zh-CN"/>
              </w:rPr>
              <w:t>3</w:t>
            </w:r>
            <w:r>
              <w:rPr>
                <w:rFonts w:hint="eastAsia" w:ascii="宋体" w:hAnsi="宋体"/>
                <w:szCs w:val="21"/>
                <w:highlight w:val="none"/>
                <w:lang w:eastAsia="zh-CN"/>
              </w:rPr>
              <w:t>）以评标标准和方法为依据，列出投标文件相对于招标文件的所有偏差，并进行归类汇总。</w:t>
            </w:r>
          </w:p>
          <w:p>
            <w:pPr>
              <w:spacing w:line="360" w:lineRule="exact"/>
              <w:ind w:firstLine="220" w:firstLineChars="105"/>
              <w:rPr>
                <w:rFonts w:hint="eastAsia" w:ascii="宋体" w:hAnsi="宋体"/>
                <w:szCs w:val="21"/>
                <w:highlight w:val="none"/>
                <w:lang w:eastAsia="zh-CN"/>
              </w:rPr>
            </w:pPr>
            <w:r>
              <w:rPr>
                <w:rFonts w:hint="eastAsia" w:ascii="宋体" w:hAnsi="宋体"/>
                <w:szCs w:val="21"/>
                <w:highlight w:val="none"/>
                <w:lang w:eastAsia="zh-CN"/>
              </w:rPr>
              <w:t>（</w:t>
            </w:r>
            <w:r>
              <w:rPr>
                <w:rFonts w:hint="eastAsia" w:ascii="宋体" w:hAnsi="宋体"/>
                <w:szCs w:val="21"/>
                <w:highlight w:val="none"/>
                <w:lang w:val="en-US" w:eastAsia="zh-CN"/>
              </w:rPr>
              <w:t>4</w:t>
            </w:r>
            <w:r>
              <w:rPr>
                <w:rFonts w:hint="eastAsia" w:ascii="宋体" w:hAnsi="宋体"/>
                <w:szCs w:val="21"/>
                <w:highlight w:val="none"/>
                <w:lang w:eastAsia="zh-CN"/>
              </w:rPr>
              <w:t>）对投标人的资质、业绩、主要人员资历和目前在岗情况、信用等级进行核实。</w:t>
            </w:r>
          </w:p>
          <w:p>
            <w:pPr>
              <w:spacing w:line="360" w:lineRule="exact"/>
              <w:ind w:firstLine="420" w:firstLineChars="200"/>
              <w:rPr>
                <w:rFonts w:hint="eastAsia" w:ascii="宋体" w:hAnsi="宋体"/>
                <w:bCs/>
                <w:szCs w:val="21"/>
                <w:highlight w:val="none"/>
              </w:rPr>
            </w:pPr>
            <w:r>
              <w:rPr>
                <w:rFonts w:hint="eastAsia" w:ascii="宋体" w:hAnsi="宋体"/>
                <w:bCs/>
                <w:szCs w:val="21"/>
                <w:highlight w:val="none"/>
              </w:rPr>
              <w:t>招标人不得对投标文件作出任何评价，不得故意遗漏或者片面摘录，不得在评标委员会对所有偏差定性之前透露存有偏差的投标人名称。</w:t>
            </w:r>
          </w:p>
          <w:p>
            <w:pPr>
              <w:spacing w:line="360" w:lineRule="exact"/>
              <w:rPr>
                <w:rFonts w:hint="eastAsia" w:ascii="宋体" w:hAnsi="宋体"/>
                <w:szCs w:val="21"/>
                <w:highlight w:val="none"/>
              </w:rPr>
            </w:pPr>
            <w:r>
              <w:rPr>
                <w:rFonts w:hint="eastAsia" w:ascii="宋体" w:hAnsi="宋体"/>
                <w:szCs w:val="21"/>
                <w:highlight w:val="none"/>
              </w:rPr>
              <w:t>1.2.2评标委员会</w:t>
            </w:r>
          </w:p>
          <w:p>
            <w:pPr>
              <w:spacing w:line="360" w:lineRule="exact"/>
              <w:ind w:firstLine="420" w:firstLineChars="200"/>
              <w:rPr>
                <w:rFonts w:hint="eastAsia" w:ascii="宋体" w:hAnsi="宋体"/>
                <w:szCs w:val="21"/>
                <w:highlight w:val="none"/>
              </w:rPr>
            </w:pPr>
            <w:r>
              <w:rPr>
                <w:rFonts w:hint="eastAsia" w:ascii="宋体" w:hAnsi="宋体"/>
                <w:szCs w:val="21"/>
                <w:highlight w:val="none"/>
              </w:rPr>
              <w:t>评标委员会由招标人按国家、</w:t>
            </w:r>
            <w:r>
              <w:rPr>
                <w:rFonts w:hint="eastAsia" w:ascii="宋体" w:hAnsi="宋体"/>
                <w:szCs w:val="21"/>
                <w:highlight w:val="none"/>
                <w:lang w:eastAsia="zh-CN"/>
              </w:rPr>
              <w:t>广东</w:t>
            </w:r>
            <w:r>
              <w:rPr>
                <w:rFonts w:hint="eastAsia" w:ascii="宋体" w:hAnsi="宋体"/>
                <w:szCs w:val="21"/>
                <w:highlight w:val="none"/>
              </w:rPr>
              <w:t>省等的有关规定依法组建</w:t>
            </w:r>
            <w:r>
              <w:rPr>
                <w:rFonts w:hint="eastAsia" w:ascii="宋体" w:hAnsi="宋体"/>
                <w:szCs w:val="21"/>
                <w:highlight w:val="none"/>
                <w:lang w:eastAsia="zh-CN"/>
              </w:rPr>
              <w:t>。评标委员会人数为五人及以上单数，评标委员会的主要工作内容包括：</w:t>
            </w:r>
          </w:p>
          <w:p>
            <w:pPr>
              <w:spacing w:line="360" w:lineRule="exact"/>
              <w:ind w:firstLine="220" w:firstLineChars="105"/>
              <w:rPr>
                <w:rFonts w:hint="eastAsia" w:ascii="宋体" w:hAnsi="宋体"/>
                <w:szCs w:val="21"/>
                <w:highlight w:val="none"/>
              </w:rPr>
            </w:pPr>
            <w:r>
              <w:rPr>
                <w:rFonts w:hint="eastAsia" w:ascii="宋体" w:hAnsi="宋体"/>
                <w:szCs w:val="21"/>
                <w:highlight w:val="none"/>
              </w:rPr>
              <w:t>（1）评标委员会开始评标工作之前，首先听取招标人、协助工作组关于工程情况和辅助工作的说明，并认真研读招标文件，获取评标所需的重要信息和数据；</w:t>
            </w:r>
          </w:p>
          <w:p>
            <w:pPr>
              <w:spacing w:line="360" w:lineRule="exact"/>
              <w:ind w:firstLine="220" w:firstLineChars="105"/>
              <w:rPr>
                <w:rFonts w:hint="eastAsia" w:ascii="宋体" w:hAnsi="宋体"/>
                <w:szCs w:val="21"/>
                <w:highlight w:val="none"/>
              </w:rPr>
            </w:pPr>
            <w:r>
              <w:rPr>
                <w:rFonts w:hint="eastAsia" w:ascii="宋体" w:hAnsi="宋体"/>
                <w:szCs w:val="21"/>
                <w:highlight w:val="none"/>
              </w:rPr>
              <w:t>（2）对协助工作组提供的评标工作用表和评标内容进行</w:t>
            </w:r>
            <w:r>
              <w:rPr>
                <w:rFonts w:hint="eastAsia" w:ascii="宋体" w:hAnsi="宋体"/>
                <w:szCs w:val="21"/>
                <w:highlight w:val="none"/>
                <w:lang w:eastAsia="zh-CN"/>
              </w:rPr>
              <w:t>核查</w:t>
            </w:r>
            <w:r>
              <w:rPr>
                <w:rFonts w:hint="eastAsia" w:ascii="宋体" w:hAnsi="宋体"/>
                <w:szCs w:val="21"/>
                <w:highlight w:val="none"/>
              </w:rPr>
              <w:t>；</w:t>
            </w:r>
          </w:p>
          <w:p>
            <w:pPr>
              <w:spacing w:line="360" w:lineRule="exact"/>
              <w:ind w:firstLine="220" w:firstLineChars="105"/>
              <w:rPr>
                <w:rFonts w:hint="eastAsia" w:ascii="宋体" w:hAnsi="宋体"/>
                <w:szCs w:val="21"/>
                <w:highlight w:val="none"/>
              </w:rPr>
            </w:pPr>
            <w:r>
              <w:rPr>
                <w:rFonts w:hint="eastAsia" w:ascii="宋体" w:hAnsi="宋体"/>
                <w:szCs w:val="21"/>
                <w:highlight w:val="none"/>
              </w:rPr>
              <w:t>（3）按照以下1.3款程序进行各项评审工作。</w:t>
            </w:r>
          </w:p>
          <w:p>
            <w:pPr>
              <w:spacing w:line="360" w:lineRule="exact"/>
              <w:rPr>
                <w:rFonts w:hint="eastAsia" w:ascii="宋体" w:hAnsi="宋体"/>
                <w:szCs w:val="21"/>
                <w:highlight w:val="none"/>
              </w:rPr>
            </w:pPr>
            <w:r>
              <w:rPr>
                <w:rFonts w:hint="eastAsia" w:ascii="宋体" w:hAnsi="宋体"/>
                <w:szCs w:val="21"/>
                <w:highlight w:val="none"/>
              </w:rPr>
              <w:t>1.3评审工作程序</w:t>
            </w:r>
          </w:p>
          <w:p>
            <w:pPr>
              <w:spacing w:line="360" w:lineRule="exact"/>
              <w:ind w:firstLine="220" w:firstLineChars="105"/>
              <w:rPr>
                <w:rFonts w:hint="eastAsia" w:ascii="宋体" w:hAnsi="宋体"/>
                <w:szCs w:val="21"/>
                <w:highlight w:val="none"/>
              </w:rPr>
            </w:pPr>
            <w:r>
              <w:rPr>
                <w:rFonts w:hint="eastAsia" w:ascii="宋体" w:hAnsi="宋体"/>
                <w:szCs w:val="21"/>
                <w:highlight w:val="none"/>
              </w:rPr>
              <w:t>评标委员会将按以下程序开展评标工作：</w:t>
            </w:r>
          </w:p>
          <w:p>
            <w:pPr>
              <w:spacing w:line="360" w:lineRule="exact"/>
              <w:rPr>
                <w:rFonts w:hint="eastAsia" w:ascii="宋体" w:hAnsi="宋体"/>
                <w:szCs w:val="21"/>
                <w:highlight w:val="none"/>
              </w:rPr>
            </w:pPr>
            <w:r>
              <w:rPr>
                <w:rFonts w:hint="eastAsia" w:ascii="宋体" w:hAnsi="宋体"/>
                <w:szCs w:val="21"/>
                <w:highlight w:val="none"/>
              </w:rPr>
              <w:t>（一）第一信封（商务文件和技术文件）的评审：</w:t>
            </w:r>
          </w:p>
          <w:p>
            <w:pPr>
              <w:spacing w:line="360" w:lineRule="exact"/>
              <w:ind w:firstLine="220" w:firstLineChars="105"/>
              <w:rPr>
                <w:rFonts w:hint="eastAsia" w:ascii="宋体" w:hAnsi="宋体"/>
                <w:szCs w:val="21"/>
                <w:highlight w:val="none"/>
              </w:rPr>
            </w:pPr>
            <w:r>
              <w:rPr>
                <w:rFonts w:hint="eastAsia" w:ascii="宋体" w:hAnsi="宋体"/>
                <w:szCs w:val="21"/>
                <w:highlight w:val="none"/>
              </w:rPr>
              <w:t>（1）初步评审，包括对投标文件进行形式评审与响应性评审、资格评审（适用于资格后审）；</w:t>
            </w:r>
          </w:p>
          <w:p>
            <w:pPr>
              <w:spacing w:line="360" w:lineRule="exact"/>
              <w:ind w:firstLine="220" w:firstLineChars="105"/>
              <w:rPr>
                <w:rFonts w:hint="eastAsia" w:ascii="宋体" w:hAnsi="宋体"/>
                <w:szCs w:val="21"/>
                <w:highlight w:val="none"/>
              </w:rPr>
            </w:pPr>
            <w:r>
              <w:rPr>
                <w:rFonts w:hint="eastAsia" w:ascii="宋体" w:hAnsi="宋体"/>
                <w:szCs w:val="21"/>
                <w:highlight w:val="none"/>
              </w:rPr>
              <w:t>（2）详细评审：评标委员会首先对通过初步评审的投标文件第一个信封（商务及技术文件）进行详细评审，对投标人的</w:t>
            </w:r>
            <w:r>
              <w:rPr>
                <w:rFonts w:hint="eastAsia" w:ascii="宋体" w:hAnsi="宋体"/>
                <w:szCs w:val="21"/>
                <w:highlight w:val="none"/>
                <w:lang w:eastAsia="zh-CN"/>
              </w:rPr>
              <w:t>其它因素（</w:t>
            </w:r>
            <w:r>
              <w:rPr>
                <w:rFonts w:hint="eastAsia" w:ascii="宋体" w:hAnsi="宋体"/>
                <w:szCs w:val="21"/>
                <w:highlight w:val="none"/>
                <w:lang w:val="en-US" w:eastAsia="zh-CN"/>
              </w:rPr>
              <w:t>履约情况</w:t>
            </w:r>
            <w:r>
              <w:rPr>
                <w:rFonts w:hint="eastAsia" w:ascii="宋体" w:hAnsi="宋体"/>
                <w:szCs w:val="21"/>
                <w:highlight w:val="none"/>
                <w:lang w:eastAsia="zh-CN"/>
              </w:rPr>
              <w:t>）得分评审与确认</w:t>
            </w:r>
            <w:r>
              <w:rPr>
                <w:rFonts w:hint="eastAsia" w:ascii="宋体" w:hAnsi="宋体"/>
                <w:szCs w:val="21"/>
                <w:highlight w:val="none"/>
              </w:rPr>
              <w:t>；</w:t>
            </w:r>
          </w:p>
          <w:p>
            <w:pPr>
              <w:spacing w:line="360" w:lineRule="exact"/>
              <w:rPr>
                <w:rFonts w:hint="eastAsia" w:ascii="宋体" w:hAnsi="宋体"/>
                <w:szCs w:val="21"/>
                <w:highlight w:val="none"/>
              </w:rPr>
            </w:pPr>
            <w:r>
              <w:rPr>
                <w:rFonts w:hint="eastAsia" w:ascii="宋体" w:hAnsi="宋体"/>
                <w:szCs w:val="21"/>
                <w:highlight w:val="none"/>
              </w:rPr>
              <w:t>（二）第二信封（报价文件）的评审：</w:t>
            </w:r>
          </w:p>
          <w:p>
            <w:pPr>
              <w:spacing w:line="400" w:lineRule="exact"/>
              <w:ind w:firstLine="210" w:firstLineChars="100"/>
              <w:rPr>
                <w:rFonts w:hint="eastAsia" w:ascii="宋体" w:hAnsi="宋体"/>
                <w:szCs w:val="21"/>
                <w:highlight w:val="none"/>
              </w:rPr>
            </w:pPr>
            <w:r>
              <w:rPr>
                <w:rFonts w:hint="eastAsia" w:ascii="宋体" w:hAnsi="宋体"/>
                <w:szCs w:val="21"/>
                <w:highlight w:val="none"/>
                <w:lang w:val="en-US" w:eastAsia="zh-CN"/>
              </w:rPr>
              <w:t>1、</w:t>
            </w:r>
            <w:r>
              <w:rPr>
                <w:rFonts w:hint="eastAsia" w:ascii="宋体" w:hAnsi="宋体"/>
                <w:szCs w:val="21"/>
                <w:highlight w:val="none"/>
              </w:rPr>
              <w:t>初步评审：</w:t>
            </w:r>
          </w:p>
          <w:p>
            <w:pPr>
              <w:spacing w:line="400" w:lineRule="exact"/>
              <w:ind w:firstLine="210" w:firstLineChars="100"/>
              <w:rPr>
                <w:rFonts w:hint="eastAsia" w:ascii="宋体" w:hAnsi="宋体"/>
                <w:szCs w:val="21"/>
                <w:highlight w:val="none"/>
              </w:rPr>
            </w:pPr>
            <w:r>
              <w:rPr>
                <w:rFonts w:hint="eastAsia" w:ascii="宋体" w:hAnsi="宋体"/>
                <w:szCs w:val="21"/>
                <w:highlight w:val="none"/>
                <w:lang w:eastAsia="zh-CN"/>
              </w:rPr>
              <w:t>（</w:t>
            </w:r>
            <w:r>
              <w:rPr>
                <w:rFonts w:hint="eastAsia" w:ascii="宋体" w:hAnsi="宋体"/>
                <w:szCs w:val="21"/>
                <w:highlight w:val="none"/>
                <w:lang w:val="en-US" w:eastAsia="zh-CN"/>
              </w:rPr>
              <w:t>1</w:t>
            </w:r>
            <w:r>
              <w:rPr>
                <w:rFonts w:hint="eastAsia" w:ascii="宋体" w:hAnsi="宋体"/>
                <w:szCs w:val="21"/>
                <w:highlight w:val="none"/>
                <w:lang w:eastAsia="zh-CN"/>
              </w:rPr>
              <w:t>）</w:t>
            </w:r>
            <w:r>
              <w:rPr>
                <w:rFonts w:hint="eastAsia" w:ascii="宋体" w:hAnsi="宋体"/>
                <w:szCs w:val="21"/>
                <w:highlight w:val="none"/>
              </w:rPr>
              <w:t>只有投标文件第一个信封通过初步评审的投标人才能继续参加第二信封报价</w:t>
            </w:r>
            <w:r>
              <w:rPr>
                <w:rFonts w:hint="eastAsia" w:ascii="宋体" w:hAnsi="宋体"/>
                <w:szCs w:val="21"/>
                <w:highlight w:val="none"/>
                <w:lang w:eastAsia="zh-CN"/>
              </w:rPr>
              <w:t>文件的形式评审与响应性评审；</w:t>
            </w:r>
          </w:p>
          <w:p>
            <w:pPr>
              <w:spacing w:line="360" w:lineRule="exact"/>
              <w:ind w:firstLine="220" w:firstLineChars="105"/>
              <w:rPr>
                <w:rFonts w:hint="eastAsia" w:ascii="宋体" w:hAnsi="宋体"/>
                <w:szCs w:val="21"/>
                <w:highlight w:val="none"/>
                <w:lang w:eastAsia="zh-CN"/>
              </w:rPr>
            </w:pPr>
            <w:r>
              <w:rPr>
                <w:rFonts w:hint="eastAsia" w:ascii="宋体" w:hAnsi="宋体"/>
                <w:szCs w:val="21"/>
                <w:highlight w:val="none"/>
              </w:rPr>
              <w:t>(2)</w:t>
            </w:r>
            <w:r>
              <w:rPr>
                <w:rFonts w:hint="eastAsia" w:ascii="宋体" w:hAnsi="宋体"/>
                <w:szCs w:val="21"/>
                <w:highlight w:val="none"/>
                <w:lang w:eastAsia="zh-CN"/>
              </w:rPr>
              <w:t>报价算术性修正（如采用固化工程量清单，本步骤省略）；</w:t>
            </w:r>
          </w:p>
          <w:p>
            <w:pPr>
              <w:spacing w:line="360" w:lineRule="exact"/>
              <w:ind w:firstLine="220" w:firstLineChars="105"/>
              <w:rPr>
                <w:rFonts w:hint="eastAsia" w:ascii="宋体" w:hAnsi="宋体"/>
                <w:szCs w:val="21"/>
                <w:highlight w:val="none"/>
                <w:lang w:val="en-US" w:eastAsia="zh-CN"/>
              </w:rPr>
            </w:pPr>
            <w:r>
              <w:rPr>
                <w:rFonts w:hint="eastAsia" w:ascii="宋体" w:hAnsi="宋体"/>
                <w:szCs w:val="21"/>
                <w:highlight w:val="none"/>
                <w:lang w:val="en-US" w:eastAsia="zh-CN"/>
              </w:rPr>
              <w:t>2、详细评审：计算评标基准价、评标价得分及综合得分；</w:t>
            </w:r>
          </w:p>
          <w:p>
            <w:pPr>
              <w:spacing w:line="400" w:lineRule="atLeast"/>
              <w:jc w:val="left"/>
              <w:rPr>
                <w:rFonts w:hint="eastAsia" w:ascii="宋体" w:hAnsi="宋体"/>
                <w:szCs w:val="21"/>
                <w:highlight w:val="none"/>
                <w:lang w:eastAsia="zh-CN"/>
              </w:rPr>
            </w:pPr>
            <w:r>
              <w:rPr>
                <w:rFonts w:hint="eastAsia" w:ascii="宋体" w:hAnsi="宋体"/>
                <w:szCs w:val="21"/>
                <w:highlight w:val="none"/>
                <w:lang w:eastAsia="zh-CN"/>
              </w:rPr>
              <w:t>（</w:t>
            </w:r>
            <w:r>
              <w:rPr>
                <w:rFonts w:hint="eastAsia" w:ascii="宋体" w:hAnsi="宋体"/>
                <w:szCs w:val="21"/>
                <w:highlight w:val="none"/>
                <w:lang w:val="en-US" w:eastAsia="zh-CN"/>
              </w:rPr>
              <w:t>三</w:t>
            </w:r>
            <w:r>
              <w:rPr>
                <w:rFonts w:hint="eastAsia" w:ascii="宋体" w:hAnsi="宋体"/>
                <w:szCs w:val="21"/>
                <w:highlight w:val="none"/>
                <w:lang w:eastAsia="zh-CN"/>
              </w:rPr>
              <w:t>）投标文件相关信息的核查。</w:t>
            </w:r>
          </w:p>
          <w:p>
            <w:pPr>
              <w:spacing w:line="400" w:lineRule="atLeast"/>
              <w:jc w:val="left"/>
              <w:rPr>
                <w:rFonts w:hint="eastAsia" w:ascii="宋体" w:hAnsi="宋体"/>
                <w:szCs w:val="21"/>
                <w:highlight w:val="none"/>
                <w:lang w:eastAsia="zh-CN"/>
              </w:rPr>
            </w:pPr>
            <w:r>
              <w:rPr>
                <w:rFonts w:hint="eastAsia" w:ascii="宋体" w:hAnsi="宋体"/>
                <w:szCs w:val="21"/>
                <w:highlight w:val="none"/>
                <w:lang w:eastAsia="zh-CN"/>
              </w:rPr>
              <w:t>（四）投标文件的澄清和说明（如有）</w:t>
            </w:r>
          </w:p>
          <w:p>
            <w:pPr>
              <w:spacing w:line="400" w:lineRule="atLeast"/>
              <w:jc w:val="left"/>
              <w:rPr>
                <w:rFonts w:hint="eastAsia" w:ascii="宋体" w:hAnsi="宋体"/>
                <w:szCs w:val="21"/>
                <w:highlight w:val="none"/>
                <w:lang w:eastAsia="zh-CN"/>
              </w:rPr>
            </w:pPr>
            <w:r>
              <w:rPr>
                <w:rFonts w:hint="eastAsia" w:ascii="宋体" w:hAnsi="宋体"/>
                <w:szCs w:val="21"/>
                <w:highlight w:val="none"/>
                <w:lang w:eastAsia="zh-CN"/>
              </w:rPr>
              <w:t>（五）按评标办法规定推荐中标候选人，编写评标报告。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 w:hRule="atLeast"/>
        </w:trPr>
        <w:tc>
          <w:tcPr>
            <w:tcW w:w="1319" w:type="dxa"/>
            <w:vAlign w:val="center"/>
          </w:tcPr>
          <w:p>
            <w:pPr>
              <w:spacing w:line="400" w:lineRule="atLeast"/>
              <w:jc w:val="center"/>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2.2.1</w:t>
            </w:r>
          </w:p>
        </w:tc>
        <w:tc>
          <w:tcPr>
            <w:tcW w:w="8161" w:type="dxa"/>
            <w:gridSpan w:val="6"/>
            <w:vAlign w:val="center"/>
          </w:tcPr>
          <w:p>
            <w:pPr>
              <w:spacing w:line="400" w:lineRule="atLeast"/>
              <w:jc w:val="left"/>
              <w:rPr>
                <w:rFonts w:hint="eastAsia" w:ascii="宋体" w:hAnsi="宋体"/>
                <w:szCs w:val="21"/>
                <w:highlight w:val="none"/>
                <w:lang w:val="en-US" w:eastAsia="zh-CN"/>
              </w:rPr>
            </w:pPr>
            <w:r>
              <w:rPr>
                <w:rFonts w:hint="eastAsia" w:ascii="宋体" w:hAnsi="宋体"/>
                <w:szCs w:val="21"/>
                <w:highlight w:val="none"/>
                <w:lang w:val="en-US" w:eastAsia="zh-CN"/>
              </w:rPr>
              <w:t>2.2.1分值构成</w:t>
            </w:r>
          </w:p>
          <w:p>
            <w:pPr>
              <w:spacing w:line="400" w:lineRule="atLeast"/>
              <w:jc w:val="left"/>
              <w:rPr>
                <w:rFonts w:hint="eastAsia" w:ascii="宋体" w:hAnsi="宋体"/>
                <w:szCs w:val="21"/>
                <w:highlight w:val="none"/>
              </w:rPr>
            </w:pPr>
            <w:r>
              <w:rPr>
                <w:rFonts w:hint="eastAsia" w:ascii="宋体" w:hAnsi="宋体"/>
                <w:szCs w:val="21"/>
                <w:highlight w:val="none"/>
              </w:rPr>
              <w:t>2.2.1（1）</w:t>
            </w:r>
            <w:r>
              <w:rPr>
                <w:rFonts w:hint="eastAsia" w:ascii="宋体" w:hAnsi="宋体"/>
                <w:szCs w:val="21"/>
                <w:highlight w:val="none"/>
                <w:lang w:eastAsia="zh-CN"/>
              </w:rPr>
              <w:t>评标价</w:t>
            </w:r>
            <w:r>
              <w:rPr>
                <w:rFonts w:hint="eastAsia" w:ascii="宋体" w:hAnsi="宋体"/>
                <w:szCs w:val="21"/>
                <w:highlight w:val="none"/>
              </w:rPr>
              <w:t>：见评标办法前附表；</w:t>
            </w:r>
          </w:p>
          <w:p>
            <w:pPr>
              <w:spacing w:line="400" w:lineRule="atLeast"/>
              <w:jc w:val="left"/>
              <w:rPr>
                <w:rFonts w:hint="eastAsia" w:ascii="宋体" w:hAnsi="宋体"/>
                <w:szCs w:val="21"/>
                <w:highlight w:val="none"/>
                <w:lang w:val="en-US" w:eastAsia="zh-CN"/>
              </w:rPr>
            </w:pPr>
            <w:r>
              <w:rPr>
                <w:rFonts w:hint="eastAsia" w:ascii="宋体" w:hAnsi="宋体"/>
                <w:szCs w:val="21"/>
                <w:highlight w:val="none"/>
              </w:rPr>
              <w:t>2.2.1（2）</w:t>
            </w:r>
            <w:r>
              <w:rPr>
                <w:rFonts w:hint="eastAsia" w:ascii="宋体" w:hAnsi="宋体"/>
                <w:szCs w:val="21"/>
                <w:highlight w:val="none"/>
                <w:lang w:eastAsia="zh-CN"/>
              </w:rPr>
              <w:t>其他因素</w:t>
            </w:r>
            <w:r>
              <w:rPr>
                <w:rFonts w:hint="eastAsia" w:ascii="宋体" w:hAnsi="宋体"/>
                <w:szCs w:val="21"/>
                <w:highlight w:val="none"/>
              </w:rPr>
              <w:t>：见评标办法前附表；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 w:hRule="atLeast"/>
        </w:trPr>
        <w:tc>
          <w:tcPr>
            <w:tcW w:w="1319" w:type="dxa"/>
            <w:vAlign w:val="center"/>
          </w:tcPr>
          <w:p>
            <w:pPr>
              <w:spacing w:line="400" w:lineRule="atLeast"/>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2.2.4</w:t>
            </w:r>
          </w:p>
        </w:tc>
        <w:tc>
          <w:tcPr>
            <w:tcW w:w="8161" w:type="dxa"/>
            <w:gridSpan w:val="6"/>
            <w:vAlign w:val="center"/>
          </w:tcPr>
          <w:p>
            <w:pPr>
              <w:spacing w:line="400" w:lineRule="atLeast"/>
              <w:jc w:val="left"/>
              <w:rPr>
                <w:rFonts w:hint="eastAsia" w:ascii="宋体" w:hAnsi="宋体"/>
                <w:szCs w:val="21"/>
                <w:highlight w:val="none"/>
                <w:lang w:val="en-US" w:eastAsia="zh-CN"/>
              </w:rPr>
            </w:pPr>
            <w:r>
              <w:rPr>
                <w:rFonts w:hint="eastAsia" w:ascii="宋体" w:hAnsi="宋体"/>
                <w:szCs w:val="21"/>
                <w:highlight w:val="none"/>
                <w:lang w:val="en-US" w:eastAsia="zh-CN"/>
              </w:rPr>
              <w:t>2.2.4评分标准</w:t>
            </w:r>
          </w:p>
          <w:p>
            <w:pPr>
              <w:spacing w:line="400" w:lineRule="atLeast"/>
              <w:jc w:val="left"/>
              <w:rPr>
                <w:rFonts w:hint="eastAsia" w:ascii="宋体" w:hAnsi="宋体"/>
                <w:szCs w:val="21"/>
                <w:highlight w:val="none"/>
              </w:rPr>
            </w:pPr>
            <w:r>
              <w:rPr>
                <w:rFonts w:hint="eastAsia" w:ascii="宋体" w:hAnsi="宋体"/>
                <w:szCs w:val="21"/>
                <w:highlight w:val="none"/>
              </w:rPr>
              <w:t>2.2.4（1）</w:t>
            </w:r>
            <w:r>
              <w:rPr>
                <w:rFonts w:hint="eastAsia" w:ascii="宋体" w:hAnsi="宋体"/>
                <w:szCs w:val="21"/>
                <w:highlight w:val="none"/>
                <w:lang w:eastAsia="zh-CN"/>
              </w:rPr>
              <w:t>评标价</w:t>
            </w:r>
            <w:r>
              <w:rPr>
                <w:rFonts w:hint="eastAsia" w:ascii="宋体" w:hAnsi="宋体"/>
                <w:szCs w:val="21"/>
                <w:highlight w:val="none"/>
              </w:rPr>
              <w:t>：见评标办法前附表；</w:t>
            </w:r>
          </w:p>
          <w:p>
            <w:pPr>
              <w:spacing w:line="400" w:lineRule="atLeast"/>
              <w:jc w:val="left"/>
              <w:rPr>
                <w:rFonts w:hint="eastAsia" w:ascii="宋体" w:hAnsi="宋体"/>
                <w:szCs w:val="21"/>
                <w:highlight w:val="none"/>
                <w:lang w:val="en-US" w:eastAsia="zh-CN"/>
              </w:rPr>
            </w:pPr>
            <w:r>
              <w:rPr>
                <w:rFonts w:hint="eastAsia" w:ascii="宋体" w:hAnsi="宋体"/>
                <w:szCs w:val="21"/>
                <w:highlight w:val="none"/>
              </w:rPr>
              <w:t>2.2.4（2）</w:t>
            </w:r>
            <w:r>
              <w:rPr>
                <w:rFonts w:hint="eastAsia" w:ascii="宋体" w:hAnsi="宋体"/>
                <w:szCs w:val="21"/>
                <w:highlight w:val="none"/>
                <w:lang w:eastAsia="zh-CN"/>
              </w:rPr>
              <w:t>其他因素评分标准</w:t>
            </w:r>
            <w:r>
              <w:rPr>
                <w:rFonts w:hint="eastAsia" w:ascii="宋体" w:hAnsi="宋体"/>
                <w:szCs w:val="21"/>
                <w:highlight w:val="none"/>
              </w:rPr>
              <w:t>：见评标办法前附表；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 w:hRule="atLeast"/>
        </w:trPr>
        <w:tc>
          <w:tcPr>
            <w:tcW w:w="1319" w:type="dxa"/>
            <w:vAlign w:val="center"/>
          </w:tcPr>
          <w:p>
            <w:pPr>
              <w:spacing w:line="400" w:lineRule="atLeast"/>
              <w:jc w:val="center"/>
              <w:rPr>
                <w:rFonts w:hint="eastAsia" w:ascii="宋体" w:hAnsi="宋体" w:cs="宋体"/>
                <w:szCs w:val="21"/>
                <w:highlight w:val="none"/>
              </w:rPr>
            </w:pPr>
            <w:r>
              <w:rPr>
                <w:rFonts w:hint="eastAsia" w:ascii="宋体" w:hAnsi="宋体" w:cs="宋体"/>
                <w:szCs w:val="21"/>
                <w:highlight w:val="none"/>
              </w:rPr>
              <w:t>3.1.1</w:t>
            </w:r>
          </w:p>
        </w:tc>
        <w:tc>
          <w:tcPr>
            <w:tcW w:w="8161" w:type="dxa"/>
            <w:gridSpan w:val="6"/>
            <w:vAlign w:val="center"/>
          </w:tcPr>
          <w:p>
            <w:pPr>
              <w:spacing w:line="360" w:lineRule="exact"/>
              <w:rPr>
                <w:rFonts w:hint="eastAsia" w:ascii="宋体" w:hAnsi="宋体" w:cs="宋体"/>
                <w:szCs w:val="21"/>
                <w:highlight w:val="none"/>
              </w:rPr>
            </w:pPr>
            <w:r>
              <w:rPr>
                <w:rFonts w:hint="eastAsia" w:ascii="宋体" w:hAnsi="宋体" w:cs="宋体"/>
                <w:szCs w:val="21"/>
                <w:highlight w:val="none"/>
              </w:rPr>
              <w:t>将评标办法范本原文第3.1.1款修改为：</w:t>
            </w:r>
          </w:p>
          <w:p>
            <w:pPr>
              <w:spacing w:line="360" w:lineRule="exact"/>
              <w:ind w:firstLine="420" w:firstLineChars="200"/>
              <w:rPr>
                <w:rFonts w:hint="eastAsia" w:ascii="宋体" w:hAnsi="宋体" w:cs="宋体"/>
                <w:szCs w:val="21"/>
                <w:highlight w:val="none"/>
              </w:rPr>
            </w:pPr>
            <w:r>
              <w:rPr>
                <w:rFonts w:hint="eastAsia" w:ascii="宋体" w:hAnsi="宋体" w:cs="宋体"/>
                <w:szCs w:val="21"/>
                <w:highlight w:val="none"/>
              </w:rPr>
              <w:t>投标人按照第二章“投标人须知前附表”的3.5.1、3.5.3～3.5.</w:t>
            </w:r>
            <w:r>
              <w:rPr>
                <w:rFonts w:hint="eastAsia" w:ascii="宋体" w:hAnsi="宋体" w:cs="宋体"/>
                <w:szCs w:val="21"/>
                <w:highlight w:val="none"/>
                <w:lang w:val="en-US" w:eastAsia="zh-CN"/>
              </w:rPr>
              <w:t>6</w:t>
            </w:r>
            <w:r>
              <w:rPr>
                <w:rFonts w:hint="eastAsia" w:ascii="宋体" w:hAnsi="宋体" w:cs="宋体"/>
                <w:szCs w:val="21"/>
                <w:highlight w:val="none"/>
              </w:rPr>
              <w:t>要求提供相应资料，评标委员会依据本章第2.1款规定的标准对投标文件第一个信封（商务及技术文件）进行初步评审。有一项不符合评审标准的，评标委员会应否决其投标。（适用于未进行资格预审的）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 w:hRule="atLeast"/>
        </w:trPr>
        <w:tc>
          <w:tcPr>
            <w:tcW w:w="1319" w:type="dxa"/>
            <w:vAlign w:val="center"/>
          </w:tcPr>
          <w:p>
            <w:pPr>
              <w:spacing w:line="400" w:lineRule="atLeast"/>
              <w:jc w:val="center"/>
              <w:rPr>
                <w:rFonts w:hint="eastAsia" w:ascii="宋体" w:hAnsi="宋体" w:cs="宋体"/>
                <w:szCs w:val="21"/>
                <w:highlight w:val="none"/>
              </w:rPr>
            </w:pPr>
            <w:r>
              <w:rPr>
                <w:rFonts w:hint="eastAsia" w:ascii="宋体" w:hAnsi="宋体" w:cs="宋体"/>
                <w:szCs w:val="21"/>
                <w:highlight w:val="none"/>
              </w:rPr>
              <w:t>3.3.2～3.3.5</w:t>
            </w:r>
          </w:p>
        </w:tc>
        <w:tc>
          <w:tcPr>
            <w:tcW w:w="8161" w:type="dxa"/>
            <w:gridSpan w:val="6"/>
            <w:vAlign w:val="center"/>
          </w:tcPr>
          <w:p>
            <w:pPr>
              <w:spacing w:line="360" w:lineRule="auto"/>
              <w:rPr>
                <w:rFonts w:hint="eastAsia" w:ascii="宋体" w:hAnsi="宋体" w:cs="宋体"/>
                <w:szCs w:val="21"/>
                <w:highlight w:val="none"/>
              </w:rPr>
            </w:pPr>
            <w:r>
              <w:rPr>
                <w:rFonts w:hint="eastAsia" w:ascii="宋体" w:hAnsi="宋体" w:cs="宋体"/>
                <w:szCs w:val="21"/>
                <w:highlight w:val="none"/>
              </w:rPr>
              <w:t>将评标办法范本原文第3.3.2～3.3.5款修改为：</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本项目招标采用第二章“投标人须知”第3.2.1项（1）目规定的投标人按照招标人提供的工程量固化清单电子文件填写工程量清单的，无须按照本章第3.3.2项和第3.3.3项的规定对投标报价进行修正，第3.3.3项至第3.3.5项内容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 w:hRule="atLeast"/>
        </w:trPr>
        <w:tc>
          <w:tcPr>
            <w:tcW w:w="1319" w:type="dxa"/>
            <w:vAlign w:val="center"/>
          </w:tcPr>
          <w:p>
            <w:pPr>
              <w:spacing w:line="400" w:lineRule="atLeast"/>
              <w:jc w:val="center"/>
              <w:rPr>
                <w:rFonts w:hint="eastAsia" w:ascii="宋体" w:hAnsi="宋体" w:cs="宋体"/>
                <w:szCs w:val="21"/>
                <w:highlight w:val="none"/>
              </w:rPr>
            </w:pPr>
            <w:r>
              <w:rPr>
                <w:rFonts w:hint="eastAsia" w:ascii="宋体" w:hAnsi="宋体" w:cs="宋体"/>
                <w:szCs w:val="21"/>
                <w:highlight w:val="none"/>
              </w:rPr>
              <w:t>3.5.1</w:t>
            </w:r>
          </w:p>
        </w:tc>
        <w:tc>
          <w:tcPr>
            <w:tcW w:w="8161" w:type="dxa"/>
            <w:gridSpan w:val="6"/>
            <w:vAlign w:val="center"/>
          </w:tcPr>
          <w:p>
            <w:pPr>
              <w:spacing w:line="400" w:lineRule="atLeast"/>
              <w:jc w:val="left"/>
              <w:rPr>
                <w:rFonts w:hint="eastAsia" w:ascii="宋体" w:hAnsi="宋体" w:cs="宋体"/>
                <w:szCs w:val="21"/>
                <w:highlight w:val="none"/>
              </w:rPr>
            </w:pPr>
            <w:r>
              <w:rPr>
                <w:rFonts w:hint="eastAsia" w:ascii="宋体" w:hAnsi="宋体" w:cs="宋体"/>
                <w:szCs w:val="21"/>
                <w:highlight w:val="none"/>
              </w:rPr>
              <w:t>将评标办法范本原文第3.5.1款修改为：</w:t>
            </w:r>
          </w:p>
          <w:p>
            <w:pPr>
              <w:spacing w:line="400" w:lineRule="atLeast"/>
              <w:ind w:firstLine="420" w:firstLineChars="200"/>
              <w:jc w:val="left"/>
              <w:rPr>
                <w:rFonts w:hint="eastAsia" w:ascii="宋体" w:hAnsi="宋体" w:cs="宋体"/>
                <w:szCs w:val="21"/>
                <w:highlight w:val="none"/>
              </w:rPr>
            </w:pPr>
            <w:r>
              <w:rPr>
                <w:rFonts w:hint="eastAsia" w:ascii="宋体" w:hAnsi="宋体" w:cs="宋体"/>
                <w:szCs w:val="21"/>
                <w:highlight w:val="none"/>
              </w:rPr>
              <w:t>投标人按照第二章“投标人须知前附表”的3.5.1、3.5.3～3.5.</w:t>
            </w:r>
            <w:r>
              <w:rPr>
                <w:rFonts w:hint="eastAsia" w:ascii="宋体" w:hAnsi="宋体" w:cs="宋体"/>
                <w:szCs w:val="21"/>
                <w:highlight w:val="none"/>
                <w:lang w:val="en-US" w:eastAsia="zh-CN"/>
              </w:rPr>
              <w:t>6</w:t>
            </w:r>
            <w:r>
              <w:rPr>
                <w:rFonts w:hint="eastAsia" w:ascii="宋体" w:hAnsi="宋体" w:cs="宋体"/>
                <w:szCs w:val="21"/>
                <w:highlight w:val="none"/>
              </w:rPr>
              <w:t>要求提供相应资料，评标委员会依据本章第2.1款规定的标准对投标文件第一个信封（商务及技术文件）进行初步评审。有一项不符合评审标准的，评标委员会应否决其投标。（适用于未进行资格预审的）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 w:hRule="atLeast"/>
        </w:trPr>
        <w:tc>
          <w:tcPr>
            <w:tcW w:w="1319" w:type="dxa"/>
            <w:vAlign w:val="center"/>
          </w:tcPr>
          <w:p>
            <w:pPr>
              <w:spacing w:line="400" w:lineRule="atLeast"/>
              <w:jc w:val="center"/>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3.5.3</w:t>
            </w:r>
          </w:p>
        </w:tc>
        <w:tc>
          <w:tcPr>
            <w:tcW w:w="8161" w:type="dxa"/>
            <w:gridSpan w:val="6"/>
            <w:vAlign w:val="center"/>
          </w:tcPr>
          <w:p>
            <w:pPr>
              <w:spacing w:line="400" w:lineRule="atLeast"/>
              <w:jc w:val="left"/>
              <w:rPr>
                <w:rFonts w:hint="eastAsia" w:ascii="宋体" w:hAnsi="宋体" w:cs="宋体"/>
                <w:szCs w:val="21"/>
                <w:highlight w:val="none"/>
                <w:lang w:val="en-US" w:eastAsia="zh-CN"/>
              </w:rPr>
            </w:pPr>
            <w:r>
              <w:rPr>
                <w:rFonts w:hint="eastAsia" w:ascii="宋体" w:hAnsi="宋体" w:cs="宋体"/>
                <w:szCs w:val="21"/>
                <w:highlight w:val="none"/>
                <w:lang w:eastAsia="zh-CN"/>
              </w:rPr>
              <w:t>增加</w:t>
            </w:r>
            <w:r>
              <w:rPr>
                <w:rFonts w:hint="eastAsia" w:ascii="宋体" w:hAnsi="宋体" w:cs="宋体"/>
                <w:szCs w:val="21"/>
                <w:highlight w:val="none"/>
                <w:lang w:val="en-US" w:eastAsia="zh-CN"/>
              </w:rPr>
              <w:t>3.5.3项：</w:t>
            </w:r>
          </w:p>
          <w:p>
            <w:pPr>
              <w:spacing w:line="400" w:lineRule="atLeast"/>
              <w:ind w:firstLine="420" w:firstLineChars="200"/>
              <w:jc w:val="left"/>
              <w:rPr>
                <w:rFonts w:hint="eastAsia" w:ascii="宋体" w:hAnsi="宋体" w:cs="宋体"/>
                <w:szCs w:val="21"/>
                <w:highlight w:val="none"/>
                <w:lang w:val="en-US" w:eastAsia="zh-CN"/>
              </w:rPr>
            </w:pPr>
            <w:r>
              <w:rPr>
                <w:rFonts w:hint="eastAsia" w:ascii="宋体" w:hAnsi="宋体" w:cs="宋体"/>
                <w:szCs w:val="21"/>
                <w:highlight w:val="none"/>
                <w:lang w:val="en-US" w:eastAsia="zh-CN"/>
              </w:rPr>
              <w:t>3.5.3依法必须进行招标的项目，除第一中标候选人或者中标人，其他投标人存在串通投标、弄虚作假、行贿情形且批评标过程中未被发现的，视为对中标结果没有造成实质性影响，招标人可以依法继续开展招标活动。投标人的违法行为由行政监督部门依法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 w:hRule="atLeast"/>
        </w:trPr>
        <w:tc>
          <w:tcPr>
            <w:tcW w:w="1319" w:type="dxa"/>
            <w:vAlign w:val="center"/>
          </w:tcPr>
          <w:p>
            <w:pPr>
              <w:spacing w:line="400" w:lineRule="atLeast"/>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3.6.1</w:t>
            </w:r>
          </w:p>
        </w:tc>
        <w:tc>
          <w:tcPr>
            <w:tcW w:w="8161" w:type="dxa"/>
            <w:gridSpan w:val="6"/>
            <w:vAlign w:val="center"/>
          </w:tcPr>
          <w:p>
            <w:pPr>
              <w:spacing w:line="400" w:lineRule="atLeast"/>
              <w:jc w:val="left"/>
              <w:rPr>
                <w:rFonts w:hint="eastAsia" w:ascii="宋体" w:hAnsi="宋体" w:cs="宋体"/>
                <w:szCs w:val="21"/>
                <w:highlight w:val="none"/>
                <w:lang w:val="en-US" w:eastAsia="zh-CN"/>
              </w:rPr>
            </w:pPr>
            <w:r>
              <w:rPr>
                <w:rFonts w:hint="eastAsia" w:ascii="宋体" w:hAnsi="宋体" w:cs="宋体"/>
                <w:szCs w:val="21"/>
                <w:highlight w:val="none"/>
                <w:lang w:val="en-US" w:eastAsia="zh-CN"/>
              </w:rPr>
              <w:t>将评标办法范本原则第3.6.1项修改为：</w:t>
            </w:r>
          </w:p>
          <w:p>
            <w:pPr>
              <w:spacing w:line="400" w:lineRule="atLeast"/>
              <w:ind w:firstLine="420" w:firstLineChars="200"/>
              <w:jc w:val="left"/>
              <w:rPr>
                <w:rFonts w:hint="eastAsia" w:ascii="宋体" w:hAnsi="宋体" w:cs="宋体"/>
                <w:szCs w:val="21"/>
                <w:highlight w:val="none"/>
                <w:lang w:val="en-US" w:eastAsia="zh-CN"/>
              </w:rPr>
            </w:pPr>
            <w:r>
              <w:rPr>
                <w:rFonts w:hint="eastAsia" w:ascii="宋体" w:hAnsi="宋体" w:cs="宋体"/>
                <w:szCs w:val="21"/>
                <w:highlight w:val="none"/>
                <w:lang w:val="en-US" w:eastAsia="zh-CN"/>
              </w:rPr>
              <w:t>3.6.1在评标过程中，评标委员会可以书面形式要求投标人对所提交投标文件中含义不明确的内容、明显文字或计算错误进行书面澄清或说明。评标委员会不接受投标人主动提出的澄清、说明。投标人不按评标委员会要求澄清或说明的，评标委员会应否决其投标。</w:t>
            </w:r>
          </w:p>
          <w:p>
            <w:pPr>
              <w:numPr>
                <w:ilvl w:val="0"/>
                <w:numId w:val="16"/>
              </w:numPr>
              <w:spacing w:line="400" w:lineRule="atLeast"/>
              <w:ind w:firstLine="420" w:firstLineChars="200"/>
              <w:jc w:val="left"/>
              <w:rPr>
                <w:rFonts w:hint="eastAsia" w:ascii="宋体" w:hAnsi="宋体" w:cs="宋体"/>
                <w:szCs w:val="21"/>
                <w:highlight w:val="none"/>
                <w:lang w:val="en-US" w:eastAsia="zh-CN"/>
              </w:rPr>
            </w:pPr>
            <w:r>
              <w:rPr>
                <w:rFonts w:hint="eastAsia" w:ascii="宋体" w:hAnsi="宋体" w:cs="宋体"/>
                <w:szCs w:val="21"/>
                <w:highlight w:val="none"/>
                <w:lang w:val="en-US" w:eastAsia="zh-CN"/>
              </w:rPr>
              <w:t>投标文件中的下列计算错误为细微偏差（采用固化工程量清单，则a-d步骤省略）；</w:t>
            </w:r>
          </w:p>
          <w:p>
            <w:pPr>
              <w:keepNext w:val="0"/>
              <w:keepLines w:val="0"/>
              <w:pageBreakBefore w:val="0"/>
              <w:widowControl w:val="0"/>
              <w:numPr>
                <w:ilvl w:val="0"/>
                <w:numId w:val="17"/>
              </w:numPr>
              <w:kinsoku/>
              <w:wordWrap/>
              <w:overflowPunct/>
              <w:topLinePunct w:val="0"/>
              <w:autoSpaceDE/>
              <w:autoSpaceDN/>
              <w:bidi w:val="0"/>
              <w:adjustRightInd/>
              <w:snapToGrid/>
              <w:spacing w:line="400" w:lineRule="atLeast"/>
              <w:ind w:left="0" w:leftChars="0" w:right="0" w:rightChars="0" w:firstLine="420" w:firstLineChars="200"/>
              <w:jc w:val="left"/>
              <w:textAlignment w:val="auto"/>
              <w:outlineLvl w:val="9"/>
              <w:rPr>
                <w:rFonts w:hint="eastAsia" w:ascii="宋体" w:hAnsi="宋体" w:cs="宋体"/>
                <w:szCs w:val="21"/>
                <w:highlight w:val="none"/>
                <w:lang w:val="en-US" w:eastAsia="zh-CN"/>
              </w:rPr>
            </w:pPr>
            <w:r>
              <w:rPr>
                <w:rFonts w:hint="eastAsia" w:ascii="宋体" w:hAnsi="宋体" w:cs="宋体"/>
                <w:szCs w:val="21"/>
                <w:highlight w:val="none"/>
                <w:lang w:val="en-US" w:eastAsia="zh-CN"/>
              </w:rPr>
              <w:t>在算术性复核中发现的算术性差错；</w:t>
            </w:r>
          </w:p>
          <w:p>
            <w:pPr>
              <w:keepNext w:val="0"/>
              <w:keepLines w:val="0"/>
              <w:pageBreakBefore w:val="0"/>
              <w:widowControl w:val="0"/>
              <w:numPr>
                <w:ilvl w:val="0"/>
                <w:numId w:val="17"/>
              </w:numPr>
              <w:kinsoku/>
              <w:wordWrap/>
              <w:overflowPunct/>
              <w:topLinePunct w:val="0"/>
              <w:autoSpaceDE/>
              <w:autoSpaceDN/>
              <w:bidi w:val="0"/>
              <w:adjustRightInd/>
              <w:snapToGrid/>
              <w:spacing w:line="400" w:lineRule="atLeast"/>
              <w:ind w:left="0" w:leftChars="0" w:right="0" w:rightChars="0" w:firstLine="420" w:firstLineChars="200"/>
              <w:jc w:val="left"/>
              <w:textAlignment w:val="auto"/>
              <w:outlineLvl w:val="9"/>
              <w:rPr>
                <w:rFonts w:hint="eastAsia" w:ascii="宋体" w:hAnsi="宋体" w:cs="宋体"/>
                <w:szCs w:val="21"/>
                <w:highlight w:val="none"/>
                <w:lang w:val="en-US" w:eastAsia="zh-CN"/>
              </w:rPr>
            </w:pPr>
            <w:r>
              <w:rPr>
                <w:rFonts w:hint="eastAsia" w:ascii="宋体" w:hAnsi="宋体" w:cs="宋体"/>
                <w:szCs w:val="21"/>
                <w:highlight w:val="none"/>
                <w:lang w:val="en-US" w:eastAsia="zh-CN"/>
              </w:rPr>
              <w:t>在招标人给定的工程量清单中漏报了某个工程细目的单价和合价；</w:t>
            </w:r>
          </w:p>
          <w:p>
            <w:pPr>
              <w:keepNext w:val="0"/>
              <w:keepLines w:val="0"/>
              <w:pageBreakBefore w:val="0"/>
              <w:widowControl w:val="0"/>
              <w:numPr>
                <w:ilvl w:val="0"/>
                <w:numId w:val="17"/>
              </w:numPr>
              <w:kinsoku/>
              <w:wordWrap/>
              <w:overflowPunct/>
              <w:topLinePunct w:val="0"/>
              <w:autoSpaceDE/>
              <w:autoSpaceDN/>
              <w:bidi w:val="0"/>
              <w:adjustRightInd/>
              <w:snapToGrid/>
              <w:spacing w:line="400" w:lineRule="atLeast"/>
              <w:ind w:left="0" w:leftChars="0" w:right="0" w:rightChars="0" w:firstLine="420" w:firstLineChars="200"/>
              <w:jc w:val="left"/>
              <w:textAlignment w:val="auto"/>
              <w:outlineLvl w:val="9"/>
              <w:rPr>
                <w:rFonts w:hint="eastAsia" w:ascii="宋体" w:hAnsi="宋体" w:cs="宋体"/>
                <w:szCs w:val="21"/>
                <w:highlight w:val="none"/>
                <w:lang w:val="en-US" w:eastAsia="zh-CN"/>
              </w:rPr>
            </w:pPr>
            <w:r>
              <w:rPr>
                <w:rFonts w:hint="eastAsia" w:ascii="宋体" w:hAnsi="宋体" w:cs="宋体"/>
                <w:szCs w:val="21"/>
                <w:highlight w:val="none"/>
                <w:lang w:val="en-US" w:eastAsia="zh-CN"/>
              </w:rPr>
              <w:t>在招标人给定的工程量清单中修改了某些支付号的工程数量。</w:t>
            </w:r>
          </w:p>
          <w:p>
            <w:pPr>
              <w:keepNext w:val="0"/>
              <w:keepLines w:val="0"/>
              <w:pageBreakBefore w:val="0"/>
              <w:widowControl w:val="0"/>
              <w:numPr>
                <w:ilvl w:val="0"/>
                <w:numId w:val="17"/>
              </w:numPr>
              <w:kinsoku/>
              <w:wordWrap/>
              <w:overflowPunct/>
              <w:topLinePunct w:val="0"/>
              <w:autoSpaceDE/>
              <w:autoSpaceDN/>
              <w:bidi w:val="0"/>
              <w:adjustRightInd/>
              <w:snapToGrid/>
              <w:spacing w:line="400" w:lineRule="atLeast"/>
              <w:ind w:left="0" w:leftChars="0" w:right="0" w:rightChars="0" w:firstLine="420" w:firstLineChars="200"/>
              <w:jc w:val="left"/>
              <w:textAlignment w:val="auto"/>
              <w:outlineLvl w:val="9"/>
              <w:rPr>
                <w:rFonts w:hint="eastAsia" w:ascii="宋体" w:hAnsi="宋体" w:cs="宋体"/>
                <w:szCs w:val="21"/>
                <w:highlight w:val="none"/>
                <w:lang w:val="en-US" w:eastAsia="zh-CN"/>
              </w:rPr>
            </w:pPr>
            <w:r>
              <w:rPr>
                <w:rFonts w:hint="eastAsia" w:ascii="宋体" w:hAnsi="宋体" w:cs="宋体"/>
                <w:szCs w:val="21"/>
                <w:highlight w:val="none"/>
                <w:lang w:val="en-US" w:eastAsia="zh-CN"/>
              </w:rPr>
              <w:t>在招标人给定的工程量清单中修改了某些支付号的工程数量。</w:t>
            </w:r>
          </w:p>
          <w:p>
            <w:pPr>
              <w:keepNext w:val="0"/>
              <w:keepLines w:val="0"/>
              <w:pageBreakBefore w:val="0"/>
              <w:widowControl w:val="0"/>
              <w:numPr>
                <w:ilvl w:val="0"/>
                <w:numId w:val="18"/>
              </w:numPr>
              <w:kinsoku/>
              <w:wordWrap/>
              <w:overflowPunct/>
              <w:topLinePunct w:val="0"/>
              <w:autoSpaceDE/>
              <w:autoSpaceDN/>
              <w:bidi w:val="0"/>
              <w:adjustRightInd/>
              <w:snapToGrid/>
              <w:spacing w:line="400" w:lineRule="atLeast"/>
              <w:ind w:left="0" w:leftChars="0" w:right="0" w:rightChars="0" w:firstLine="420" w:firstLineChars="200"/>
              <w:jc w:val="left"/>
              <w:textAlignment w:val="auto"/>
              <w:outlineLvl w:val="9"/>
              <w:rPr>
                <w:rFonts w:hint="eastAsia" w:ascii="宋体" w:hAnsi="宋体" w:cs="宋体"/>
                <w:szCs w:val="21"/>
                <w:highlight w:val="none"/>
                <w:lang w:val="en-US" w:eastAsia="zh-CN"/>
              </w:rPr>
            </w:pPr>
            <w:r>
              <w:rPr>
                <w:rFonts w:hint="eastAsia" w:ascii="宋体" w:hAnsi="宋体" w:cs="宋体"/>
                <w:szCs w:val="21"/>
                <w:highlight w:val="none"/>
                <w:lang w:val="en-US" w:eastAsia="zh-CN"/>
              </w:rPr>
              <w:t>评标委员会对投标文件中的细微偏差按如下规定处理（采用固化工程量清单，则a-d步骤省略）：</w:t>
            </w:r>
          </w:p>
          <w:p>
            <w:pPr>
              <w:keepNext w:val="0"/>
              <w:keepLines w:val="0"/>
              <w:pageBreakBefore w:val="0"/>
              <w:widowControl w:val="0"/>
              <w:numPr>
                <w:ilvl w:val="0"/>
                <w:numId w:val="19"/>
              </w:numPr>
              <w:kinsoku/>
              <w:wordWrap/>
              <w:overflowPunct/>
              <w:topLinePunct w:val="0"/>
              <w:autoSpaceDE/>
              <w:autoSpaceDN/>
              <w:bidi w:val="0"/>
              <w:adjustRightInd/>
              <w:snapToGrid/>
              <w:spacing w:line="400" w:lineRule="atLeast"/>
              <w:ind w:left="0" w:leftChars="0" w:right="0" w:rightChars="0" w:firstLine="420" w:firstLineChars="200"/>
              <w:jc w:val="left"/>
              <w:textAlignment w:val="auto"/>
              <w:outlineLvl w:val="9"/>
              <w:rPr>
                <w:rFonts w:hint="eastAsia" w:ascii="宋体" w:hAnsi="宋体" w:cs="宋体"/>
                <w:szCs w:val="21"/>
                <w:highlight w:val="none"/>
                <w:lang w:val="en-US" w:eastAsia="zh-CN"/>
              </w:rPr>
            </w:pPr>
            <w:r>
              <w:rPr>
                <w:rFonts w:hint="eastAsia" w:ascii="宋体" w:hAnsi="宋体" w:cs="宋体"/>
                <w:szCs w:val="21"/>
                <w:highlight w:val="none"/>
                <w:lang w:val="en-US" w:eastAsia="zh-CN"/>
              </w:rPr>
              <w:t>按本评标办法的规定对算术性错误予以修正；</w:t>
            </w:r>
          </w:p>
          <w:p>
            <w:pPr>
              <w:keepNext w:val="0"/>
              <w:keepLines w:val="0"/>
              <w:pageBreakBefore w:val="0"/>
              <w:widowControl w:val="0"/>
              <w:numPr>
                <w:ilvl w:val="0"/>
                <w:numId w:val="19"/>
              </w:numPr>
              <w:kinsoku/>
              <w:wordWrap/>
              <w:overflowPunct/>
              <w:topLinePunct w:val="0"/>
              <w:autoSpaceDE/>
              <w:autoSpaceDN/>
              <w:bidi w:val="0"/>
              <w:adjustRightInd/>
              <w:snapToGrid/>
              <w:spacing w:line="400" w:lineRule="atLeast"/>
              <w:ind w:left="0" w:leftChars="0" w:right="0" w:rightChars="0" w:firstLine="420" w:firstLineChars="200"/>
              <w:jc w:val="left"/>
              <w:textAlignment w:val="auto"/>
              <w:outlineLvl w:val="9"/>
              <w:rPr>
                <w:rFonts w:hint="eastAsia" w:ascii="宋体" w:hAnsi="宋体" w:cs="宋体"/>
                <w:szCs w:val="21"/>
                <w:highlight w:val="none"/>
                <w:lang w:val="en-US" w:eastAsia="zh-CN"/>
              </w:rPr>
            </w:pPr>
            <w:r>
              <w:rPr>
                <w:rFonts w:hint="eastAsia" w:ascii="宋体" w:hAnsi="宋体" w:cs="宋体"/>
                <w:szCs w:val="21"/>
                <w:highlight w:val="none"/>
                <w:lang w:val="en-US" w:eastAsia="zh-CN"/>
              </w:rPr>
              <w:t>对于漏报的工程细目单价和合价或单价和合价减少的报价内容视为已含入其它工程细目的单价和合价之中；</w:t>
            </w:r>
          </w:p>
          <w:p>
            <w:pPr>
              <w:keepNext w:val="0"/>
              <w:keepLines w:val="0"/>
              <w:pageBreakBefore w:val="0"/>
              <w:widowControl w:val="0"/>
              <w:numPr>
                <w:ilvl w:val="0"/>
                <w:numId w:val="19"/>
              </w:numPr>
              <w:kinsoku/>
              <w:wordWrap/>
              <w:overflowPunct/>
              <w:topLinePunct w:val="0"/>
              <w:autoSpaceDE/>
              <w:autoSpaceDN/>
              <w:bidi w:val="0"/>
              <w:adjustRightInd/>
              <w:snapToGrid/>
              <w:spacing w:line="400" w:lineRule="atLeast"/>
              <w:ind w:left="0" w:leftChars="0" w:right="0" w:rightChars="0" w:firstLine="420" w:firstLineChars="200"/>
              <w:jc w:val="left"/>
              <w:textAlignment w:val="auto"/>
              <w:outlineLvl w:val="9"/>
              <w:rPr>
                <w:rFonts w:hint="eastAsia" w:ascii="宋体" w:hAnsi="宋体" w:cs="宋体"/>
                <w:szCs w:val="21"/>
                <w:highlight w:val="none"/>
                <w:lang w:val="en-US" w:eastAsia="zh-CN"/>
              </w:rPr>
            </w:pPr>
            <w:r>
              <w:rPr>
                <w:rFonts w:hint="eastAsia" w:ascii="宋体" w:hAnsi="宋体" w:cs="宋体"/>
                <w:szCs w:val="21"/>
                <w:highlight w:val="none"/>
                <w:lang w:val="en-US" w:eastAsia="zh-CN"/>
              </w:rPr>
              <w:t>在保障投标总价不变的前提下，对于多报的工程细目报价或工程细目报价中增加的部分报价从投标报价中予以扣除，并对其它细目作相应的平衡性调整；</w:t>
            </w:r>
          </w:p>
          <w:p>
            <w:pPr>
              <w:keepNext w:val="0"/>
              <w:keepLines w:val="0"/>
              <w:pageBreakBefore w:val="0"/>
              <w:widowControl w:val="0"/>
              <w:numPr>
                <w:ilvl w:val="0"/>
                <w:numId w:val="19"/>
              </w:numPr>
              <w:kinsoku/>
              <w:wordWrap/>
              <w:overflowPunct/>
              <w:topLinePunct w:val="0"/>
              <w:autoSpaceDE/>
              <w:autoSpaceDN/>
              <w:bidi w:val="0"/>
              <w:adjustRightInd/>
              <w:snapToGrid/>
              <w:spacing w:line="400" w:lineRule="atLeast"/>
              <w:ind w:left="0" w:leftChars="0" w:right="0" w:rightChars="0" w:firstLine="420" w:firstLineChars="200"/>
              <w:jc w:val="left"/>
              <w:textAlignment w:val="auto"/>
              <w:outlineLvl w:val="9"/>
              <w:rPr>
                <w:rFonts w:hint="eastAsia" w:ascii="宋体" w:hAnsi="宋体" w:cs="宋体"/>
                <w:szCs w:val="21"/>
                <w:highlight w:val="none"/>
                <w:lang w:val="en-US" w:eastAsia="zh-CN"/>
              </w:rPr>
            </w:pPr>
            <w:r>
              <w:rPr>
                <w:rFonts w:hint="eastAsia" w:ascii="宋体" w:hAnsi="宋体" w:cs="宋体"/>
                <w:szCs w:val="21"/>
                <w:highlight w:val="none"/>
                <w:lang w:val="en-US" w:eastAsia="zh-CN"/>
              </w:rPr>
              <w:t>在保证投标总价不变的前提下，对于给定工程量清单数量不符的工程数量进行跟踪，并对其它细目作相应的平衡性调整。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1" w:hRule="atLeast"/>
        </w:trPr>
        <w:tc>
          <w:tcPr>
            <w:tcW w:w="1319" w:type="dxa"/>
            <w:vAlign w:val="center"/>
          </w:tcPr>
          <w:p>
            <w:pPr>
              <w:spacing w:line="400" w:lineRule="atLeast"/>
              <w:jc w:val="center"/>
              <w:rPr>
                <w:rFonts w:hint="eastAsia" w:ascii="宋体" w:hAnsi="宋体" w:cs="宋体"/>
                <w:szCs w:val="21"/>
                <w:highlight w:val="none"/>
              </w:rPr>
            </w:pPr>
            <w:r>
              <w:rPr>
                <w:rFonts w:hint="eastAsia" w:ascii="宋体" w:hAnsi="宋体" w:cs="宋体"/>
                <w:szCs w:val="21"/>
                <w:highlight w:val="none"/>
              </w:rPr>
              <w:t>3.8</w:t>
            </w:r>
          </w:p>
        </w:tc>
        <w:tc>
          <w:tcPr>
            <w:tcW w:w="8161" w:type="dxa"/>
            <w:gridSpan w:val="6"/>
            <w:vAlign w:val="center"/>
          </w:tcPr>
          <w:p>
            <w:pPr>
              <w:pStyle w:val="10"/>
              <w:adjustRightInd w:val="0"/>
              <w:snapToGrid w:val="0"/>
              <w:spacing w:line="360" w:lineRule="auto"/>
              <w:rPr>
                <w:rFonts w:hint="eastAsia" w:hAnsi="宋体" w:cs="宋体"/>
                <w:szCs w:val="21"/>
                <w:highlight w:val="none"/>
              </w:rPr>
            </w:pPr>
            <w:r>
              <w:rPr>
                <w:rFonts w:hint="eastAsia" w:hAnsi="宋体" w:cs="宋体"/>
                <w:szCs w:val="21"/>
                <w:highlight w:val="none"/>
              </w:rPr>
              <w:t>在评标办法范本原文第3.8款后增加3.8.3～3.8.</w:t>
            </w:r>
            <w:r>
              <w:rPr>
                <w:rFonts w:hint="eastAsia" w:hAnsi="宋体" w:cs="宋体"/>
                <w:szCs w:val="21"/>
                <w:highlight w:val="none"/>
                <w:lang w:val="en-US" w:eastAsia="zh-CN"/>
              </w:rPr>
              <w:t>5</w:t>
            </w:r>
            <w:r>
              <w:rPr>
                <w:rFonts w:hint="eastAsia" w:hAnsi="宋体" w:cs="宋体"/>
                <w:szCs w:val="21"/>
                <w:highlight w:val="none"/>
              </w:rPr>
              <w:t>为：</w:t>
            </w:r>
          </w:p>
          <w:p>
            <w:pPr>
              <w:pStyle w:val="10"/>
              <w:adjustRightInd w:val="0"/>
              <w:snapToGrid w:val="0"/>
              <w:spacing w:line="360" w:lineRule="auto"/>
              <w:ind w:left="44" w:leftChars="21" w:firstLine="432" w:firstLineChars="206"/>
              <w:rPr>
                <w:rFonts w:hint="eastAsia" w:hAnsi="宋体" w:cs="宋体"/>
                <w:szCs w:val="21"/>
                <w:highlight w:val="none"/>
              </w:rPr>
            </w:pPr>
            <w:r>
              <w:rPr>
                <w:rFonts w:hint="eastAsia" w:ascii="宋体" w:hAnsi="宋体" w:cs="宋体"/>
                <w:bCs/>
                <w:szCs w:val="21"/>
                <w:highlight w:val="none"/>
              </w:rPr>
              <w:t>3.8.3</w:t>
            </w:r>
            <w:r>
              <w:rPr>
                <w:rFonts w:hint="eastAsia" w:hAnsi="宋体" w:cs="宋体"/>
                <w:szCs w:val="21"/>
                <w:highlight w:val="none"/>
              </w:rPr>
              <w:t>通过第一信封商务文件和技术文件评审的投标人少于3个的，评标委员会可以否决全部投标；未否决全部投标的，评标委员会应当在评标报告中阐明理由，招标人应当按照招标文件规定的程序进行第二信封报价文件开标，但评标委员会在进行报价文件评审时仍有权否决全部投标；评标委员会未在报价文件评审时否决全部投标的，应当在评标报告中阐明理由并推荐中标候选人。</w:t>
            </w:r>
          </w:p>
          <w:p>
            <w:pPr>
              <w:pStyle w:val="10"/>
              <w:snapToGrid w:val="0"/>
              <w:spacing w:line="360" w:lineRule="auto"/>
              <w:ind w:left="44" w:leftChars="21" w:firstLine="432" w:firstLineChars="206"/>
              <w:rPr>
                <w:rFonts w:hint="eastAsia" w:hAnsi="宋体" w:cs="宋体"/>
                <w:szCs w:val="21"/>
                <w:highlight w:val="none"/>
              </w:rPr>
            </w:pPr>
            <w:r>
              <w:rPr>
                <w:rFonts w:hint="eastAsia" w:hAnsi="宋体" w:cs="宋体"/>
                <w:szCs w:val="21"/>
                <w:highlight w:val="none"/>
              </w:rPr>
              <w:t>3.8</w:t>
            </w:r>
            <w:r>
              <w:rPr>
                <w:rFonts w:hint="eastAsia" w:hAnsi="宋体" w:cs="宋体"/>
                <w:szCs w:val="21"/>
                <w:highlight w:val="none"/>
                <w:lang w:val="en-US" w:eastAsia="zh-CN"/>
              </w:rPr>
              <w:t>.4</w:t>
            </w:r>
            <w:r>
              <w:rPr>
                <w:rFonts w:hint="eastAsia" w:hAnsi="宋体" w:cs="宋体"/>
                <w:szCs w:val="21"/>
                <w:highlight w:val="none"/>
              </w:rPr>
              <w:t>通过第一信封商务文件和技术文件评审的投标人在3个及以上的，招标人应当按照招标文件规定的程序进行第二信封报价文件开标；在对报价文件进行评审后，有效投标不足3个的，评标委员会可以否决全部投标。未否决全部投标的，评标委员会应当在评标报告中阐明理由并推荐中标候选人。</w:t>
            </w:r>
          </w:p>
          <w:p>
            <w:pPr>
              <w:pStyle w:val="10"/>
              <w:adjustRightInd w:val="0"/>
              <w:snapToGrid w:val="0"/>
              <w:spacing w:line="360" w:lineRule="auto"/>
              <w:ind w:left="44" w:leftChars="21" w:firstLine="432" w:firstLineChars="206"/>
              <w:rPr>
                <w:rFonts w:hint="eastAsia" w:ascii="宋体" w:hAnsi="宋体" w:cs="宋体"/>
                <w:szCs w:val="21"/>
                <w:highlight w:val="none"/>
              </w:rPr>
            </w:pPr>
            <w:r>
              <w:rPr>
                <w:rFonts w:hint="eastAsia" w:hAnsi="宋体" w:cs="宋体"/>
                <w:szCs w:val="21"/>
                <w:highlight w:val="none"/>
              </w:rPr>
              <w:t>3.8.</w:t>
            </w:r>
            <w:r>
              <w:rPr>
                <w:rFonts w:hint="eastAsia" w:hAnsi="宋体" w:cs="宋体"/>
                <w:szCs w:val="21"/>
                <w:highlight w:val="none"/>
                <w:lang w:val="en-US" w:eastAsia="zh-CN"/>
              </w:rPr>
              <w:t>5</w:t>
            </w:r>
            <w:r>
              <w:rPr>
                <w:rFonts w:hint="eastAsia" w:hAnsi="宋体" w:cs="宋体"/>
                <w:szCs w:val="21"/>
                <w:highlight w:val="none"/>
              </w:rPr>
              <w:t>如果发生无法确定推荐中标候选人的其它意外情况，由评标委员会研究处理，评标委员会有权决定本次招标无效，有权建议招标人重新招标。</w:t>
            </w:r>
          </w:p>
        </w:tc>
      </w:tr>
    </w:tbl>
    <w:p>
      <w:pPr>
        <w:spacing w:before="300" w:beforeLines="0" w:after="300" w:afterLines="0" w:line="400" w:lineRule="exact"/>
        <w:outlineLvl w:val="0"/>
        <w:rPr>
          <w:rFonts w:hint="eastAsia" w:ascii="宋体" w:hAnsi="宋体" w:cs="宋体"/>
          <w:b/>
          <w:kern w:val="44"/>
          <w:sz w:val="28"/>
          <w:szCs w:val="28"/>
          <w:highlight w:val="none"/>
        </w:rPr>
      </w:pPr>
      <w:r>
        <w:rPr>
          <w:rFonts w:hint="eastAsia" w:ascii="宋体" w:hAnsi="宋体" w:cs="宋体"/>
          <w:szCs w:val="21"/>
          <w:highlight w:val="none"/>
        </w:rPr>
        <w:br w:type="page"/>
      </w:r>
      <w:bookmarkStart w:id="46" w:name="_Toc17537"/>
      <w:bookmarkStart w:id="47" w:name="_Toc2"/>
      <w:bookmarkStart w:id="48" w:name="_Toc23559"/>
      <w:bookmarkStart w:id="49" w:name="_Toc339289821"/>
      <w:bookmarkStart w:id="50" w:name="_Toc347739532"/>
      <w:bookmarkStart w:id="51" w:name="_Toc27598"/>
      <w:bookmarkStart w:id="52" w:name="_Toc13867"/>
      <w:r>
        <w:rPr>
          <w:rFonts w:hint="eastAsia" w:ascii="宋体" w:hAnsi="宋体" w:cs="宋体"/>
          <w:b/>
          <w:kern w:val="44"/>
          <w:sz w:val="28"/>
          <w:szCs w:val="28"/>
          <w:highlight w:val="none"/>
        </w:rPr>
        <w:t>1. 评标方法</w:t>
      </w:r>
      <w:bookmarkEnd w:id="46"/>
      <w:bookmarkEnd w:id="47"/>
      <w:bookmarkEnd w:id="48"/>
      <w:bookmarkEnd w:id="49"/>
      <w:bookmarkEnd w:id="50"/>
      <w:bookmarkEnd w:id="51"/>
      <w:bookmarkEnd w:id="52"/>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本次评标采用合理低价法。评标委员会对满足招标文件实质性要求的投标文件，按照本章第2.2款规定的评分标准进行打分，并按得分由高到低顺序推荐中标候选人，或根据招标人授权直接确定中标人，但投标报价低于其成本的除外。综合评分相等时，评标委员会应按照评标办法前附表规定的优先次序推荐中标候选人或确定中标人。</w:t>
      </w:r>
    </w:p>
    <w:p>
      <w:pPr>
        <w:spacing w:before="300" w:beforeLines="0" w:after="300" w:afterLines="0" w:line="360" w:lineRule="auto"/>
        <w:outlineLvl w:val="0"/>
        <w:rPr>
          <w:rFonts w:hint="eastAsia" w:ascii="宋体" w:hAnsi="宋体" w:cs="宋体"/>
          <w:b/>
          <w:kern w:val="44"/>
          <w:sz w:val="28"/>
          <w:szCs w:val="28"/>
          <w:highlight w:val="none"/>
        </w:rPr>
      </w:pPr>
      <w:bookmarkStart w:id="53" w:name="_Toc15048"/>
      <w:bookmarkStart w:id="54" w:name="_Toc30756"/>
      <w:bookmarkStart w:id="55" w:name="_Toc1328"/>
      <w:bookmarkStart w:id="56" w:name="_Toc347739533"/>
      <w:bookmarkStart w:id="57" w:name="_Toc339289822"/>
      <w:bookmarkStart w:id="58" w:name="_Toc30889"/>
      <w:bookmarkStart w:id="59" w:name="_Toc24372"/>
      <w:r>
        <w:rPr>
          <w:rFonts w:hint="eastAsia" w:ascii="宋体" w:hAnsi="宋体" w:cs="宋体"/>
          <w:b/>
          <w:kern w:val="44"/>
          <w:sz w:val="28"/>
          <w:szCs w:val="28"/>
          <w:highlight w:val="none"/>
        </w:rPr>
        <w:t>2. 评审标准</w:t>
      </w:r>
      <w:bookmarkEnd w:id="53"/>
      <w:bookmarkEnd w:id="54"/>
      <w:bookmarkEnd w:id="55"/>
      <w:bookmarkEnd w:id="56"/>
      <w:bookmarkEnd w:id="57"/>
      <w:bookmarkEnd w:id="58"/>
      <w:bookmarkEnd w:id="59"/>
    </w:p>
    <w:p>
      <w:pPr>
        <w:spacing w:before="300" w:beforeLines="0" w:after="300" w:afterLines="0" w:line="360" w:lineRule="auto"/>
        <w:outlineLvl w:val="0"/>
        <w:rPr>
          <w:rFonts w:hint="eastAsia" w:ascii="宋体" w:hAnsi="宋体" w:cs="宋体"/>
          <w:b/>
          <w:kern w:val="44"/>
          <w:highlight w:val="none"/>
        </w:rPr>
      </w:pPr>
      <w:bookmarkStart w:id="60" w:name="_Toc22335"/>
      <w:bookmarkStart w:id="61" w:name="_Toc15766"/>
      <w:bookmarkStart w:id="62" w:name="_Toc11435"/>
      <w:bookmarkStart w:id="63" w:name="_Toc347739534"/>
      <w:bookmarkStart w:id="64" w:name="_Toc339289823"/>
      <w:bookmarkStart w:id="65" w:name="_Toc10737"/>
      <w:bookmarkStart w:id="66" w:name="_Toc17208"/>
      <w:r>
        <w:rPr>
          <w:rFonts w:hint="eastAsia" w:ascii="宋体" w:hAnsi="宋体" w:cs="宋体"/>
          <w:b/>
          <w:kern w:val="44"/>
          <w:highlight w:val="none"/>
        </w:rPr>
        <w:t>2.1 初步评审标准</w:t>
      </w:r>
      <w:bookmarkEnd w:id="60"/>
      <w:bookmarkEnd w:id="61"/>
      <w:bookmarkEnd w:id="62"/>
      <w:bookmarkEnd w:id="63"/>
      <w:bookmarkEnd w:id="64"/>
      <w:bookmarkEnd w:id="65"/>
      <w:bookmarkEnd w:id="66"/>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2.1.1 形式评审标准：见评标办法前附表。</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2.1.2 资格评审标准：见评标办法前附表。</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2.1.3 响应性评审标准：见评标办法前附表。</w:t>
      </w:r>
    </w:p>
    <w:p>
      <w:pPr>
        <w:spacing w:before="300" w:beforeLines="0" w:after="300" w:afterLines="0" w:line="360" w:lineRule="auto"/>
        <w:outlineLvl w:val="0"/>
        <w:rPr>
          <w:rFonts w:hint="eastAsia" w:ascii="宋体" w:hAnsi="宋体" w:cs="宋体"/>
          <w:b/>
          <w:kern w:val="44"/>
          <w:highlight w:val="none"/>
        </w:rPr>
      </w:pPr>
      <w:bookmarkStart w:id="67" w:name="_Toc11231"/>
      <w:bookmarkStart w:id="68" w:name="_Toc339289824"/>
      <w:bookmarkStart w:id="69" w:name="_Toc28889"/>
      <w:bookmarkStart w:id="70" w:name="_Toc347739535"/>
      <w:bookmarkStart w:id="71" w:name="_Toc26692"/>
      <w:bookmarkStart w:id="72" w:name="_Toc3953"/>
      <w:bookmarkStart w:id="73" w:name="_Toc21544"/>
      <w:r>
        <w:rPr>
          <w:rFonts w:hint="eastAsia" w:ascii="宋体" w:hAnsi="宋体" w:cs="宋体"/>
          <w:b/>
          <w:kern w:val="44"/>
          <w:highlight w:val="none"/>
        </w:rPr>
        <w:t>2.2 分值构成与评分标准</w:t>
      </w:r>
      <w:bookmarkEnd w:id="67"/>
      <w:bookmarkEnd w:id="68"/>
      <w:bookmarkEnd w:id="69"/>
      <w:bookmarkEnd w:id="70"/>
      <w:bookmarkEnd w:id="71"/>
      <w:bookmarkEnd w:id="72"/>
      <w:bookmarkEnd w:id="73"/>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 xml:space="preserve">2.2.1 </w:t>
      </w:r>
      <w:r>
        <w:rPr>
          <w:rFonts w:hint="eastAsia" w:ascii="宋体" w:hAnsi="宋体" w:cs="宋体"/>
          <w:szCs w:val="21"/>
          <w:highlight w:val="none"/>
          <w:lang w:val="en-US" w:eastAsia="zh-CN"/>
        </w:rPr>
        <w:t xml:space="preserve"> </w:t>
      </w:r>
      <w:r>
        <w:rPr>
          <w:rFonts w:hint="eastAsia" w:ascii="宋体" w:hAnsi="宋体" w:cs="宋体"/>
          <w:szCs w:val="21"/>
          <w:highlight w:val="none"/>
        </w:rPr>
        <w:t>分值构成</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）评标价：</w:t>
      </w:r>
      <w:r>
        <w:rPr>
          <w:rFonts w:hint="eastAsia" w:ascii="宋体" w:hAnsi="宋体" w:cs="宋体"/>
          <w:szCs w:val="21"/>
          <w:highlight w:val="none"/>
        </w:rPr>
        <w:t>见评标办法前附表。</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2</w:t>
      </w:r>
      <w:r>
        <w:rPr>
          <w:rFonts w:hint="eastAsia" w:ascii="宋体" w:hAnsi="宋体" w:cs="宋体"/>
          <w:szCs w:val="21"/>
          <w:highlight w:val="none"/>
          <w:lang w:eastAsia="zh-CN"/>
        </w:rPr>
        <w:t>）其他因素</w:t>
      </w:r>
      <w:r>
        <w:rPr>
          <w:rFonts w:hint="eastAsia" w:ascii="宋体" w:hAnsi="宋体" w:cs="宋体"/>
          <w:szCs w:val="21"/>
          <w:highlight w:val="none"/>
        </w:rPr>
        <w:t>：见评标办法前附表</w:t>
      </w:r>
      <w:r>
        <w:rPr>
          <w:rFonts w:hint="eastAsia" w:ascii="宋体" w:hAnsi="宋体" w:cs="宋体"/>
          <w:szCs w:val="21"/>
          <w:highlight w:val="none"/>
          <w:lang w:eastAsia="zh-CN"/>
        </w:rPr>
        <w:t>。</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2.2.2</w:t>
      </w:r>
      <w:r>
        <w:rPr>
          <w:rFonts w:hint="eastAsia" w:ascii="宋体" w:hAnsi="宋体" w:cs="宋体"/>
          <w:szCs w:val="21"/>
          <w:highlight w:val="none"/>
          <w:lang w:val="en-US" w:eastAsia="zh-CN"/>
        </w:rPr>
        <w:t xml:space="preserve"> </w:t>
      </w:r>
      <w:r>
        <w:rPr>
          <w:rFonts w:hint="eastAsia" w:ascii="宋体" w:hAnsi="宋体" w:cs="宋体"/>
          <w:szCs w:val="21"/>
          <w:highlight w:val="none"/>
        </w:rPr>
        <w:t xml:space="preserve"> 评标基准价计算</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评标基准价计算方法：见评标办法前附表。</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2.2.3  投标报价的偏差率计算</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投标报价的偏差率计算公式：见评标办法前附表。</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2.2.4  评分标准</w:t>
      </w:r>
    </w:p>
    <w:p>
      <w:pPr>
        <w:numPr>
          <w:ilvl w:val="0"/>
          <w:numId w:val="20"/>
        </w:num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评标价评分标准：</w:t>
      </w:r>
      <w:r>
        <w:rPr>
          <w:rFonts w:hint="eastAsia" w:ascii="宋体" w:hAnsi="宋体" w:cs="宋体"/>
          <w:szCs w:val="21"/>
          <w:highlight w:val="none"/>
        </w:rPr>
        <w:t>见评标办法前附表。</w:t>
      </w:r>
    </w:p>
    <w:p>
      <w:pPr>
        <w:numPr>
          <w:ilvl w:val="0"/>
          <w:numId w:val="20"/>
        </w:num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其他因素</w:t>
      </w:r>
      <w:r>
        <w:rPr>
          <w:rFonts w:hint="eastAsia" w:ascii="宋体" w:hAnsi="宋体" w:cs="宋体"/>
          <w:szCs w:val="21"/>
          <w:highlight w:val="none"/>
        </w:rPr>
        <w:t>评分标准：见评标办法前附表</w:t>
      </w:r>
      <w:r>
        <w:rPr>
          <w:rFonts w:hint="eastAsia" w:ascii="宋体" w:hAnsi="宋体" w:cs="宋体"/>
          <w:szCs w:val="21"/>
          <w:highlight w:val="none"/>
          <w:lang w:eastAsia="zh-CN"/>
        </w:rPr>
        <w:t>。</w:t>
      </w:r>
    </w:p>
    <w:p>
      <w:pPr>
        <w:spacing w:before="300" w:beforeLines="0" w:after="300" w:afterLines="0" w:line="360" w:lineRule="auto"/>
        <w:outlineLvl w:val="0"/>
        <w:rPr>
          <w:rFonts w:hint="eastAsia" w:ascii="宋体" w:hAnsi="宋体" w:cs="宋体"/>
          <w:b/>
          <w:kern w:val="44"/>
          <w:sz w:val="28"/>
          <w:szCs w:val="28"/>
          <w:highlight w:val="none"/>
        </w:rPr>
      </w:pPr>
      <w:bookmarkStart w:id="74" w:name="_Toc9368"/>
      <w:bookmarkStart w:id="75" w:name="_Toc24057"/>
      <w:bookmarkStart w:id="76" w:name="_Toc347739536"/>
      <w:bookmarkStart w:id="77" w:name="_Toc23069"/>
      <w:bookmarkStart w:id="78" w:name="_Toc23470"/>
      <w:bookmarkStart w:id="79" w:name="_Toc32493"/>
      <w:bookmarkStart w:id="80" w:name="_Toc339289825"/>
      <w:r>
        <w:rPr>
          <w:rFonts w:hint="eastAsia" w:ascii="宋体" w:hAnsi="宋体" w:cs="宋体"/>
          <w:b/>
          <w:kern w:val="44"/>
          <w:sz w:val="28"/>
          <w:szCs w:val="28"/>
          <w:highlight w:val="none"/>
        </w:rPr>
        <w:t>3. 评标程序</w:t>
      </w:r>
      <w:bookmarkEnd w:id="74"/>
      <w:bookmarkEnd w:id="75"/>
      <w:bookmarkEnd w:id="76"/>
      <w:bookmarkEnd w:id="77"/>
      <w:bookmarkEnd w:id="78"/>
      <w:bookmarkEnd w:id="79"/>
      <w:bookmarkEnd w:id="80"/>
    </w:p>
    <w:p>
      <w:pPr>
        <w:overflowPunct w:val="0"/>
        <w:spacing w:before="156" w:beforeLines="50" w:after="156" w:afterLines="50" w:line="360" w:lineRule="auto"/>
        <w:outlineLvl w:val="0"/>
        <w:rPr>
          <w:rFonts w:hint="eastAsia" w:ascii="宋体" w:hAnsi="宋体" w:cs="宋体"/>
          <w:b/>
          <w:highlight w:val="none"/>
        </w:rPr>
      </w:pPr>
      <w:bookmarkStart w:id="81" w:name="_Toc4117"/>
      <w:bookmarkStart w:id="82" w:name="_Toc6845"/>
      <w:bookmarkStart w:id="83" w:name="_Toc347739537"/>
      <w:bookmarkStart w:id="84" w:name="_Toc339289826"/>
      <w:bookmarkStart w:id="85" w:name="_Toc17938"/>
      <w:bookmarkStart w:id="86" w:name="_Toc22703"/>
      <w:bookmarkStart w:id="87" w:name="_Toc4315"/>
      <w:r>
        <w:rPr>
          <w:rFonts w:hint="eastAsia" w:ascii="宋体" w:hAnsi="宋体" w:cs="宋体"/>
          <w:b/>
          <w:highlight w:val="none"/>
        </w:rPr>
        <w:t>3.1 第一个信封初步评审</w:t>
      </w:r>
      <w:bookmarkEnd w:id="81"/>
      <w:bookmarkEnd w:id="82"/>
      <w:bookmarkEnd w:id="83"/>
      <w:bookmarkEnd w:id="84"/>
      <w:bookmarkEnd w:id="85"/>
      <w:bookmarkEnd w:id="86"/>
      <w:bookmarkEnd w:id="87"/>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3.1.1评标委员会可以要求投标人提交第二章“投标人须知</w:t>
      </w:r>
      <w:r>
        <w:rPr>
          <w:rFonts w:hint="eastAsia" w:ascii="宋体" w:hAnsi="宋体" w:cs="宋体"/>
          <w:szCs w:val="21"/>
          <w:highlight w:val="none"/>
          <w:lang w:eastAsia="zh-CN"/>
        </w:rPr>
        <w:t>前附表</w:t>
      </w:r>
      <w:r>
        <w:rPr>
          <w:rFonts w:hint="eastAsia" w:ascii="宋体" w:hAnsi="宋体" w:cs="宋体"/>
          <w:szCs w:val="21"/>
          <w:highlight w:val="none"/>
        </w:rPr>
        <w:t>”第3.5.1项至第3.5.6项规定的有关证明和证件的原件，以便核验。评标委员会依据本章第2.1款规定的标准对投标文件第一个信封（商务及技术文件）进行初步评审。有一项不符合评审标准的，评标委员会应否决其投标。</w:t>
      </w:r>
    </w:p>
    <w:p>
      <w:pPr>
        <w:overflowPunct w:val="0"/>
        <w:spacing w:before="156" w:beforeLines="50" w:after="156" w:afterLines="50" w:line="360" w:lineRule="auto"/>
        <w:outlineLvl w:val="0"/>
        <w:rPr>
          <w:rFonts w:hint="eastAsia" w:ascii="宋体" w:hAnsi="宋体" w:cs="宋体"/>
          <w:b/>
          <w:highlight w:val="none"/>
        </w:rPr>
      </w:pPr>
      <w:bookmarkStart w:id="88" w:name="_Toc339289827"/>
      <w:bookmarkStart w:id="89" w:name="_Toc347739538"/>
      <w:bookmarkStart w:id="90" w:name="_Toc15346"/>
      <w:bookmarkStart w:id="91" w:name="_Toc19275"/>
      <w:bookmarkStart w:id="92" w:name="_Toc28513"/>
      <w:bookmarkStart w:id="93" w:name="_Toc6421"/>
      <w:bookmarkStart w:id="94" w:name="_Toc25971"/>
      <w:r>
        <w:rPr>
          <w:rFonts w:hint="eastAsia" w:ascii="宋体" w:hAnsi="宋体" w:cs="宋体"/>
          <w:b/>
          <w:highlight w:val="none"/>
        </w:rPr>
        <w:t>3.</w:t>
      </w:r>
      <w:bookmarkEnd w:id="88"/>
      <w:bookmarkEnd w:id="89"/>
      <w:r>
        <w:rPr>
          <w:rFonts w:hint="eastAsia" w:ascii="宋体" w:hAnsi="宋体" w:cs="宋体"/>
          <w:b/>
          <w:highlight w:val="none"/>
        </w:rPr>
        <w:t>2第二个信封开标</w:t>
      </w:r>
      <w:bookmarkEnd w:id="90"/>
      <w:bookmarkEnd w:id="91"/>
      <w:bookmarkEnd w:id="92"/>
      <w:bookmarkEnd w:id="93"/>
      <w:bookmarkEnd w:id="94"/>
    </w:p>
    <w:p>
      <w:pPr>
        <w:overflowPunct w:val="0"/>
        <w:spacing w:before="156" w:beforeLines="50" w:after="156" w:afterLines="50" w:line="360" w:lineRule="auto"/>
        <w:ind w:firstLine="420" w:firstLineChars="200"/>
        <w:outlineLvl w:val="0"/>
        <w:rPr>
          <w:rFonts w:hint="eastAsia" w:ascii="宋体" w:hAnsi="宋体" w:cs="宋体"/>
          <w:b/>
          <w:highlight w:val="none"/>
        </w:rPr>
      </w:pPr>
      <w:bookmarkStart w:id="95" w:name="_Toc22235"/>
      <w:bookmarkStart w:id="96" w:name="_Toc6651"/>
      <w:bookmarkStart w:id="97" w:name="_Toc5761"/>
      <w:bookmarkStart w:id="98" w:name="_Toc17675"/>
      <w:bookmarkStart w:id="99" w:name="_Toc30302"/>
      <w:r>
        <w:rPr>
          <w:rFonts w:hint="eastAsia" w:ascii="宋体" w:hAnsi="宋体" w:cs="宋体"/>
          <w:szCs w:val="21"/>
          <w:highlight w:val="none"/>
        </w:rPr>
        <w:t>第一个信封（商务及技术文件）评审结束后，招标人将按照第二章“投标人须知”第5.1款规定的时间和地点对通过投标文件第一个信封（商务及技术文件）评审的投标文件第二个信封（报价文件）进行开标。</w:t>
      </w:r>
      <w:bookmarkEnd w:id="95"/>
      <w:bookmarkEnd w:id="96"/>
      <w:bookmarkEnd w:id="97"/>
      <w:bookmarkEnd w:id="98"/>
      <w:bookmarkEnd w:id="99"/>
    </w:p>
    <w:p>
      <w:pPr>
        <w:overflowPunct w:val="0"/>
        <w:spacing w:before="156" w:beforeLines="50" w:after="156" w:afterLines="50" w:line="360" w:lineRule="auto"/>
        <w:outlineLvl w:val="0"/>
        <w:rPr>
          <w:rFonts w:hint="eastAsia" w:ascii="宋体" w:hAnsi="宋体" w:cs="宋体"/>
          <w:b/>
          <w:highlight w:val="none"/>
        </w:rPr>
      </w:pPr>
      <w:bookmarkStart w:id="100" w:name="_Toc347739539"/>
      <w:bookmarkStart w:id="101" w:name="_Toc339289828"/>
      <w:bookmarkStart w:id="102" w:name="_Toc9153"/>
      <w:bookmarkStart w:id="103" w:name="_Toc3081"/>
      <w:bookmarkStart w:id="104" w:name="_Toc13675"/>
      <w:bookmarkStart w:id="105" w:name="_Toc14166"/>
      <w:bookmarkStart w:id="106" w:name="_Toc9618"/>
      <w:r>
        <w:rPr>
          <w:rFonts w:hint="eastAsia" w:ascii="宋体" w:hAnsi="宋体" w:cs="宋体"/>
          <w:b/>
          <w:highlight w:val="none"/>
        </w:rPr>
        <w:t xml:space="preserve">3.3 </w:t>
      </w:r>
      <w:bookmarkEnd w:id="100"/>
      <w:bookmarkEnd w:id="101"/>
      <w:r>
        <w:rPr>
          <w:rFonts w:hint="eastAsia" w:ascii="宋体" w:hAnsi="宋体" w:cs="宋体"/>
          <w:b/>
          <w:highlight w:val="none"/>
        </w:rPr>
        <w:t>第二个信封初步评审</w:t>
      </w:r>
      <w:bookmarkEnd w:id="102"/>
      <w:bookmarkEnd w:id="103"/>
      <w:bookmarkEnd w:id="104"/>
      <w:bookmarkEnd w:id="105"/>
      <w:bookmarkEnd w:id="106"/>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3.3.1 评标委员会依据本章第2.1.1项、第2.1.3项规定的评审标准对投标文件第二个信封（报价文件）进行初步评审。有一项不符合评审标准的，评标委员会应否决其投标。</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3.3.2投标报价有算术错误的，评标委员会按以下原则对投标报价进行修正，修正的价格经投标人书面确认后具有约束力。投标人不接受修正价格的，评标委员会应否决其投标。</w:t>
      </w:r>
    </w:p>
    <w:p>
      <w:pPr>
        <w:numPr>
          <w:ilvl w:val="0"/>
          <w:numId w:val="21"/>
        </w:num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投标文件中的大写金额与小写金额不一致的，以大写金额为准；</w:t>
      </w:r>
    </w:p>
    <w:p>
      <w:pPr>
        <w:numPr>
          <w:ilvl w:val="0"/>
          <w:numId w:val="21"/>
        </w:num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总价金额与依据单价计算出的结果不一致的，以单价金额为准修正总价，但单价金额小数点有明显错误的除外；</w:t>
      </w:r>
    </w:p>
    <w:p>
      <w:pPr>
        <w:numPr>
          <w:ilvl w:val="0"/>
          <w:numId w:val="21"/>
        </w:num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当单价与数量相乘不等于合价时，以单价计算为准，如果单价有明显的小数点位置差错，应以标出的合价为准，同时对单价予以修正。</w:t>
      </w:r>
    </w:p>
    <w:p>
      <w:pPr>
        <w:numPr>
          <w:ilvl w:val="0"/>
          <w:numId w:val="21"/>
        </w:num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当各子目的合价累计不等于总价时，应以各子目合价累计数为准，修正总价。</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3.3.3工程量清单中的投标报价有其他错误的,评标委员会按以下原则对投标报价进行修正,修正的价格经投标人书面确认后具有约束力。投标人不接受修正价格的,评标委员会应否决其投标。</w:t>
      </w:r>
    </w:p>
    <w:p>
      <w:pPr>
        <w:numPr>
          <w:ilvl w:val="0"/>
          <w:numId w:val="22"/>
        </w:num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在招标人给定的工程量清单中漏报了某个工程子目的单价、合价或总额价,或所报单价、合价或总额价减少了报价范围,则漏报的工程子目单价、合价和总额价或单价、合价和总额价中减少的报价内容视为已含入其他工程子目的单价、合价和总额价之中。</w:t>
      </w:r>
    </w:p>
    <w:p>
      <w:pPr>
        <w:numPr>
          <w:ilvl w:val="0"/>
          <w:numId w:val="22"/>
        </w:num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在招标人给定的工程量清单中多报了某个工程子目的单价、合价或总额价,或所报单价、合价或总额价增加了报价范围,则从投标报价中扣除多报的工程子目报价或工程子目报价中增加了报价范围的部分报价。</w:t>
      </w:r>
    </w:p>
    <w:p>
      <w:pPr>
        <w:numPr>
          <w:ilvl w:val="0"/>
          <w:numId w:val="22"/>
        </w:num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当单价与数量的乘积与合价(金额)虽然一致,但投标人修改了该子目的工程数量,则其合价按招标人给定的工程数量乘以投标人所报单价予以修正。</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3.3.4修正后的最终投标报价若超过最高投标限价(如有),评标委员会应否决其投标。</w:t>
      </w:r>
    </w:p>
    <w:p>
      <w:pPr>
        <w:overflowPunct w:val="0"/>
        <w:spacing w:before="156" w:beforeLines="50" w:after="156" w:afterLines="50" w:line="360" w:lineRule="auto"/>
        <w:outlineLvl w:val="0"/>
        <w:rPr>
          <w:rFonts w:hint="eastAsia" w:ascii="宋体" w:hAnsi="宋体" w:cs="宋体"/>
          <w:b/>
          <w:highlight w:val="none"/>
        </w:rPr>
      </w:pPr>
      <w:bookmarkStart w:id="107" w:name="_Toc923"/>
      <w:bookmarkStart w:id="108" w:name="_Toc21515"/>
      <w:bookmarkStart w:id="109" w:name="_Toc24415"/>
      <w:bookmarkStart w:id="110" w:name="_Toc23858"/>
      <w:bookmarkStart w:id="111" w:name="_Toc339289829"/>
      <w:bookmarkStart w:id="112" w:name="_Toc347739540"/>
      <w:bookmarkStart w:id="113" w:name="_Toc29437"/>
      <w:r>
        <w:rPr>
          <w:rFonts w:hint="eastAsia" w:ascii="宋体" w:hAnsi="宋体" w:cs="宋体"/>
          <w:b/>
          <w:highlight w:val="none"/>
        </w:rPr>
        <w:t>3.4 第二个信封详细评审</w:t>
      </w:r>
      <w:bookmarkEnd w:id="107"/>
      <w:bookmarkEnd w:id="108"/>
      <w:bookmarkEnd w:id="109"/>
      <w:bookmarkEnd w:id="110"/>
      <w:bookmarkEnd w:id="111"/>
      <w:bookmarkEnd w:id="112"/>
      <w:bookmarkEnd w:id="113"/>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3.4.1 评标委员会按本章第2.2款规定的量化因素和分值进行打分，并计算出综合评估得分（即评标价得分）。</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3.4.2投标人得分分值计算保留小数点后两位，小数点后第三位“四舍五入”。</w:t>
      </w:r>
    </w:p>
    <w:p>
      <w:pPr>
        <w:overflowPunct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3.4.3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pPr>
        <w:overflowPunct w:val="0"/>
        <w:spacing w:before="156" w:beforeLines="50" w:after="156" w:afterLines="50" w:line="360" w:lineRule="auto"/>
        <w:outlineLvl w:val="0"/>
        <w:rPr>
          <w:rFonts w:hint="eastAsia" w:ascii="宋体" w:hAnsi="宋体" w:cs="宋体"/>
          <w:b/>
          <w:highlight w:val="none"/>
        </w:rPr>
      </w:pPr>
      <w:bookmarkStart w:id="114" w:name="_Toc3323"/>
      <w:bookmarkStart w:id="115" w:name="_Toc16089"/>
      <w:bookmarkStart w:id="116" w:name="_Toc21545"/>
      <w:bookmarkStart w:id="117" w:name="_Toc10525"/>
      <w:bookmarkStart w:id="118" w:name="_Toc29246"/>
      <w:r>
        <w:rPr>
          <w:rFonts w:hint="eastAsia" w:ascii="宋体" w:hAnsi="宋体" w:cs="宋体"/>
          <w:b/>
          <w:highlight w:val="none"/>
        </w:rPr>
        <w:t>3.5 投标文件相关信息的核查</w:t>
      </w:r>
      <w:bookmarkEnd w:id="114"/>
      <w:bookmarkEnd w:id="115"/>
      <w:bookmarkEnd w:id="116"/>
      <w:bookmarkEnd w:id="117"/>
      <w:bookmarkEnd w:id="118"/>
    </w:p>
    <w:p>
      <w:pPr>
        <w:overflowPunct w:val="0"/>
        <w:spacing w:before="156" w:beforeLines="50" w:after="156" w:afterLines="50" w:line="360" w:lineRule="auto"/>
        <w:ind w:firstLine="420" w:firstLineChars="200"/>
        <w:outlineLvl w:val="0"/>
        <w:rPr>
          <w:rFonts w:hint="eastAsia" w:ascii="宋体" w:hAnsi="宋体" w:cs="宋体"/>
          <w:bCs/>
          <w:highlight w:val="none"/>
        </w:rPr>
      </w:pPr>
      <w:bookmarkStart w:id="119" w:name="_Toc23883"/>
      <w:bookmarkStart w:id="120" w:name="_Toc10933"/>
      <w:bookmarkStart w:id="121" w:name="_Toc20212"/>
      <w:bookmarkStart w:id="122" w:name="_Toc23723"/>
      <w:bookmarkStart w:id="123" w:name="_Toc14926"/>
      <w:r>
        <w:rPr>
          <w:rFonts w:hint="eastAsia" w:ascii="宋体" w:hAnsi="宋体" w:cs="宋体"/>
          <w:bCs/>
          <w:highlight w:val="none"/>
        </w:rPr>
        <w:t>3.5.1</w:t>
      </w:r>
      <w:bookmarkEnd w:id="119"/>
      <w:bookmarkEnd w:id="120"/>
      <w:r>
        <w:rPr>
          <w:rFonts w:hint="eastAsia" w:ascii="宋体" w:hAnsi="宋体" w:cs="宋体"/>
          <w:szCs w:val="21"/>
          <w:highlight w:val="none"/>
        </w:rPr>
        <w:t>在评标过程中，评标委员会应查询交通运输主管部门“公路建设市场信用信息管理系统”，对投标人的资质、业绩、主要人员资历和目前在岗情况、信用等级等信息进行核实。若投标文件载明的信息与交通运输主管部门“公路建设市场信用信息管理系统”发布的信息不符，使得投标人的资格条件不符合招标文件规定的，评标委员会应否决其投标。</w:t>
      </w:r>
      <w:bookmarkEnd w:id="121"/>
      <w:bookmarkEnd w:id="122"/>
      <w:bookmarkEnd w:id="123"/>
    </w:p>
    <w:p>
      <w:pPr>
        <w:overflowPunct w:val="0"/>
        <w:spacing w:before="156" w:beforeLines="50" w:after="156" w:afterLines="50" w:line="360" w:lineRule="auto"/>
        <w:ind w:firstLine="420" w:firstLineChars="200"/>
        <w:outlineLvl w:val="0"/>
        <w:rPr>
          <w:rFonts w:hint="eastAsia" w:ascii="宋体" w:hAnsi="宋体" w:cs="宋体"/>
          <w:bCs/>
          <w:highlight w:val="none"/>
        </w:rPr>
      </w:pPr>
      <w:bookmarkStart w:id="124" w:name="_Toc14365"/>
      <w:bookmarkStart w:id="125" w:name="_Toc26630"/>
      <w:bookmarkStart w:id="126" w:name="_Toc9456"/>
      <w:bookmarkStart w:id="127" w:name="_Toc13411"/>
      <w:bookmarkStart w:id="128" w:name="_Toc9243"/>
      <w:r>
        <w:rPr>
          <w:rFonts w:hint="eastAsia" w:ascii="宋体" w:hAnsi="宋体" w:cs="宋体"/>
          <w:bCs/>
          <w:highlight w:val="none"/>
        </w:rPr>
        <w:t>3.5.2评标委员会应对在评标过程中发现的投标人与投标人之间、投标人与招标人之间存在的串通投标的情形进行评审和认定。投标人存在串通投标、弄虚作假、行贿等违法行为的，评标委员会应否决其投标。</w:t>
      </w:r>
      <w:bookmarkEnd w:id="124"/>
      <w:bookmarkEnd w:id="125"/>
      <w:bookmarkEnd w:id="126"/>
      <w:bookmarkEnd w:id="127"/>
      <w:bookmarkEnd w:id="128"/>
    </w:p>
    <w:p>
      <w:pPr>
        <w:numPr>
          <w:ilvl w:val="0"/>
          <w:numId w:val="23"/>
        </w:numPr>
        <w:overflowPunct w:val="0"/>
        <w:spacing w:before="156" w:beforeLines="50" w:after="156" w:afterLines="50" w:line="360" w:lineRule="auto"/>
        <w:ind w:firstLine="420" w:firstLineChars="200"/>
        <w:outlineLvl w:val="0"/>
        <w:rPr>
          <w:rFonts w:hint="eastAsia" w:ascii="宋体" w:hAnsi="宋体" w:cs="宋体"/>
          <w:bCs/>
          <w:highlight w:val="none"/>
        </w:rPr>
      </w:pPr>
      <w:bookmarkStart w:id="129" w:name="_Toc24489"/>
      <w:bookmarkStart w:id="130" w:name="_Toc4401"/>
      <w:bookmarkStart w:id="131" w:name="_Toc21315"/>
      <w:bookmarkStart w:id="132" w:name="_Toc10210"/>
      <w:bookmarkStart w:id="133" w:name="_Toc28445"/>
      <w:r>
        <w:rPr>
          <w:rFonts w:hint="eastAsia" w:ascii="宋体" w:hAnsi="宋体" w:cs="宋体"/>
          <w:bCs/>
          <w:highlight w:val="none"/>
        </w:rPr>
        <w:t>有下列情形之一的，属于投标人相互串通投标；</w:t>
      </w:r>
      <w:bookmarkEnd w:id="129"/>
      <w:bookmarkEnd w:id="130"/>
      <w:bookmarkEnd w:id="131"/>
      <w:bookmarkEnd w:id="132"/>
      <w:bookmarkEnd w:id="133"/>
    </w:p>
    <w:p>
      <w:pPr>
        <w:numPr>
          <w:ilvl w:val="0"/>
          <w:numId w:val="24"/>
        </w:numPr>
        <w:overflowPunct w:val="0"/>
        <w:spacing w:before="156" w:beforeLines="50" w:after="156" w:afterLines="50" w:line="360" w:lineRule="auto"/>
        <w:ind w:left="420" w:leftChars="200"/>
        <w:outlineLvl w:val="0"/>
        <w:rPr>
          <w:rFonts w:hint="eastAsia" w:ascii="宋体" w:hAnsi="宋体" w:cs="宋体"/>
          <w:bCs/>
          <w:highlight w:val="none"/>
        </w:rPr>
      </w:pPr>
      <w:bookmarkStart w:id="134" w:name="_Toc23855"/>
      <w:bookmarkStart w:id="135" w:name="_Toc15367"/>
      <w:bookmarkStart w:id="136" w:name="_Toc27987"/>
      <w:bookmarkStart w:id="137" w:name="_Toc29409"/>
      <w:bookmarkStart w:id="138" w:name="_Toc26266"/>
      <w:r>
        <w:rPr>
          <w:rFonts w:hint="eastAsia" w:ascii="宋体" w:hAnsi="宋体" w:cs="宋体"/>
          <w:bCs/>
          <w:highlight w:val="none"/>
        </w:rPr>
        <w:t>投标人之间协商投标报价等投标文件的实质性内容；</w:t>
      </w:r>
      <w:bookmarkEnd w:id="134"/>
      <w:bookmarkEnd w:id="135"/>
      <w:bookmarkEnd w:id="136"/>
      <w:bookmarkEnd w:id="137"/>
      <w:bookmarkEnd w:id="138"/>
    </w:p>
    <w:p>
      <w:pPr>
        <w:numPr>
          <w:ilvl w:val="0"/>
          <w:numId w:val="24"/>
        </w:numPr>
        <w:overflowPunct w:val="0"/>
        <w:spacing w:before="156" w:beforeLines="50" w:after="156" w:afterLines="50" w:line="360" w:lineRule="auto"/>
        <w:ind w:left="420" w:leftChars="200"/>
        <w:outlineLvl w:val="0"/>
        <w:rPr>
          <w:rFonts w:hint="eastAsia" w:ascii="宋体" w:hAnsi="宋体" w:cs="宋体"/>
          <w:bCs/>
          <w:highlight w:val="none"/>
        </w:rPr>
      </w:pPr>
      <w:bookmarkStart w:id="139" w:name="_Toc7631"/>
      <w:bookmarkStart w:id="140" w:name="_Toc8479"/>
      <w:bookmarkStart w:id="141" w:name="_Toc26759"/>
      <w:bookmarkStart w:id="142" w:name="_Toc307"/>
      <w:bookmarkStart w:id="143" w:name="_Toc8443"/>
      <w:r>
        <w:rPr>
          <w:rFonts w:hint="eastAsia" w:ascii="宋体" w:hAnsi="宋体" w:cs="宋体"/>
          <w:bCs/>
          <w:highlight w:val="none"/>
        </w:rPr>
        <w:t>投标人之间约定中标人；</w:t>
      </w:r>
      <w:bookmarkEnd w:id="139"/>
      <w:bookmarkEnd w:id="140"/>
      <w:bookmarkEnd w:id="141"/>
      <w:bookmarkEnd w:id="142"/>
      <w:bookmarkEnd w:id="143"/>
    </w:p>
    <w:p>
      <w:pPr>
        <w:numPr>
          <w:ilvl w:val="0"/>
          <w:numId w:val="24"/>
        </w:numPr>
        <w:overflowPunct w:val="0"/>
        <w:spacing w:before="156" w:beforeLines="50" w:after="156" w:afterLines="50" w:line="360" w:lineRule="auto"/>
        <w:ind w:left="420" w:leftChars="200"/>
        <w:outlineLvl w:val="0"/>
        <w:rPr>
          <w:rFonts w:hint="eastAsia" w:ascii="宋体" w:hAnsi="宋体" w:cs="宋体"/>
          <w:bCs/>
          <w:highlight w:val="none"/>
        </w:rPr>
      </w:pPr>
      <w:bookmarkStart w:id="144" w:name="_Toc12102"/>
      <w:bookmarkStart w:id="145" w:name="_Toc10659"/>
      <w:bookmarkStart w:id="146" w:name="_Toc31999"/>
      <w:bookmarkStart w:id="147" w:name="_Toc30361"/>
      <w:bookmarkStart w:id="148" w:name="_Toc28072"/>
      <w:r>
        <w:rPr>
          <w:rFonts w:hint="eastAsia" w:ascii="宋体" w:hAnsi="宋体" w:cs="宋体"/>
          <w:bCs/>
          <w:highlight w:val="none"/>
        </w:rPr>
        <w:t>投标人之间约定部分投标人放弃投标或中标；</w:t>
      </w:r>
      <w:bookmarkEnd w:id="144"/>
      <w:bookmarkEnd w:id="145"/>
      <w:bookmarkEnd w:id="146"/>
      <w:bookmarkEnd w:id="147"/>
      <w:bookmarkEnd w:id="148"/>
    </w:p>
    <w:p>
      <w:pPr>
        <w:numPr>
          <w:ilvl w:val="0"/>
          <w:numId w:val="24"/>
        </w:numPr>
        <w:overflowPunct w:val="0"/>
        <w:spacing w:before="156" w:beforeLines="50" w:after="156" w:afterLines="50" w:line="360" w:lineRule="auto"/>
        <w:ind w:left="420" w:leftChars="200"/>
        <w:outlineLvl w:val="0"/>
        <w:rPr>
          <w:rFonts w:hint="eastAsia" w:ascii="宋体" w:hAnsi="宋体" w:cs="宋体"/>
          <w:bCs/>
          <w:highlight w:val="none"/>
        </w:rPr>
      </w:pPr>
      <w:bookmarkStart w:id="149" w:name="_Toc17419"/>
      <w:bookmarkStart w:id="150" w:name="_Toc21390"/>
      <w:bookmarkStart w:id="151" w:name="_Toc26832"/>
      <w:bookmarkStart w:id="152" w:name="_Toc17880"/>
      <w:bookmarkStart w:id="153" w:name="_Toc18727"/>
      <w:r>
        <w:rPr>
          <w:rFonts w:hint="eastAsia" w:ascii="宋体" w:hAnsi="宋体" w:cs="宋体"/>
          <w:bCs/>
          <w:highlight w:val="none"/>
        </w:rPr>
        <w:t>属于同一集团、协会、</w:t>
      </w:r>
      <w:r>
        <w:rPr>
          <w:rFonts w:hint="eastAsia" w:ascii="宋体" w:hAnsi="宋体" w:cs="宋体"/>
          <w:bCs/>
          <w:highlight w:val="none"/>
          <w:lang w:eastAsia="zh-CN"/>
        </w:rPr>
        <w:t>商会</w:t>
      </w:r>
      <w:r>
        <w:rPr>
          <w:rFonts w:hint="eastAsia" w:ascii="宋体" w:hAnsi="宋体" w:cs="宋体"/>
          <w:bCs/>
          <w:highlight w:val="none"/>
        </w:rPr>
        <w:t>等组织成员的投标人按照该组织要求协同投标；</w:t>
      </w:r>
      <w:bookmarkEnd w:id="149"/>
      <w:bookmarkEnd w:id="150"/>
      <w:bookmarkEnd w:id="151"/>
      <w:bookmarkEnd w:id="152"/>
      <w:bookmarkEnd w:id="153"/>
    </w:p>
    <w:p>
      <w:pPr>
        <w:numPr>
          <w:ilvl w:val="0"/>
          <w:numId w:val="24"/>
        </w:numPr>
        <w:overflowPunct w:val="0"/>
        <w:spacing w:before="156" w:beforeLines="50" w:after="156" w:afterLines="50" w:line="360" w:lineRule="auto"/>
        <w:ind w:left="420" w:leftChars="200"/>
        <w:outlineLvl w:val="0"/>
        <w:rPr>
          <w:rFonts w:hint="eastAsia" w:ascii="宋体" w:hAnsi="宋体" w:cs="宋体"/>
          <w:bCs/>
          <w:highlight w:val="none"/>
        </w:rPr>
      </w:pPr>
      <w:bookmarkStart w:id="154" w:name="_Toc8363"/>
      <w:bookmarkStart w:id="155" w:name="_Toc21465"/>
      <w:bookmarkStart w:id="156" w:name="_Toc482"/>
      <w:bookmarkStart w:id="157" w:name="_Toc3892"/>
      <w:bookmarkStart w:id="158" w:name="_Toc18632"/>
      <w:r>
        <w:rPr>
          <w:rFonts w:hint="eastAsia" w:ascii="宋体" w:hAnsi="宋体" w:cs="宋体"/>
          <w:bCs/>
          <w:highlight w:val="none"/>
        </w:rPr>
        <w:t>投标人之间为谋取中标或排斥特定投标人而采取的其他联合行动。</w:t>
      </w:r>
      <w:bookmarkEnd w:id="154"/>
      <w:bookmarkEnd w:id="155"/>
      <w:bookmarkEnd w:id="156"/>
      <w:bookmarkEnd w:id="157"/>
      <w:bookmarkEnd w:id="158"/>
    </w:p>
    <w:p>
      <w:pPr>
        <w:numPr>
          <w:ilvl w:val="0"/>
          <w:numId w:val="25"/>
        </w:numPr>
        <w:overflowPunct w:val="0"/>
        <w:spacing w:before="156" w:beforeLines="50" w:after="156" w:afterLines="50" w:line="360" w:lineRule="auto"/>
        <w:ind w:firstLine="420" w:firstLineChars="200"/>
        <w:outlineLvl w:val="0"/>
        <w:rPr>
          <w:rFonts w:hint="eastAsia" w:ascii="宋体" w:hAnsi="宋体" w:cs="宋体"/>
          <w:bCs/>
          <w:highlight w:val="none"/>
        </w:rPr>
      </w:pPr>
      <w:bookmarkStart w:id="159" w:name="_Toc5806"/>
      <w:bookmarkStart w:id="160" w:name="_Toc32135"/>
      <w:bookmarkStart w:id="161" w:name="_Toc20346"/>
      <w:bookmarkStart w:id="162" w:name="_Toc16265"/>
      <w:bookmarkStart w:id="163" w:name="_Toc22664"/>
      <w:r>
        <w:rPr>
          <w:rFonts w:hint="eastAsia" w:ascii="宋体" w:hAnsi="宋体" w:cs="宋体"/>
          <w:bCs/>
          <w:highlight w:val="none"/>
        </w:rPr>
        <w:t>有下列情形之一的，视为投标人相互串通投标；</w:t>
      </w:r>
      <w:bookmarkEnd w:id="159"/>
      <w:bookmarkEnd w:id="160"/>
      <w:bookmarkEnd w:id="161"/>
      <w:bookmarkEnd w:id="162"/>
      <w:bookmarkEnd w:id="163"/>
    </w:p>
    <w:p>
      <w:pPr>
        <w:numPr>
          <w:ilvl w:val="0"/>
          <w:numId w:val="26"/>
        </w:numPr>
        <w:overflowPunct w:val="0"/>
        <w:spacing w:before="156" w:beforeLines="50" w:after="156" w:afterLines="50" w:line="360" w:lineRule="auto"/>
        <w:ind w:left="420" w:leftChars="200"/>
        <w:outlineLvl w:val="0"/>
        <w:rPr>
          <w:rFonts w:hint="eastAsia" w:ascii="宋体" w:hAnsi="宋体" w:cs="宋体"/>
          <w:bCs/>
          <w:highlight w:val="none"/>
        </w:rPr>
      </w:pPr>
      <w:bookmarkStart w:id="164" w:name="_Toc15089"/>
      <w:bookmarkStart w:id="165" w:name="_Toc17479"/>
      <w:bookmarkStart w:id="166" w:name="_Toc14035"/>
      <w:bookmarkStart w:id="167" w:name="_Toc17072"/>
      <w:bookmarkStart w:id="168" w:name="_Toc2230"/>
      <w:r>
        <w:rPr>
          <w:rFonts w:hint="eastAsia" w:ascii="宋体" w:hAnsi="宋体" w:cs="宋体"/>
          <w:bCs/>
          <w:highlight w:val="none"/>
        </w:rPr>
        <w:t>不同投标人的投标文件由同一单位或个人编制；</w:t>
      </w:r>
      <w:bookmarkEnd w:id="164"/>
      <w:bookmarkEnd w:id="165"/>
      <w:bookmarkEnd w:id="166"/>
      <w:bookmarkEnd w:id="167"/>
      <w:bookmarkEnd w:id="168"/>
    </w:p>
    <w:p>
      <w:pPr>
        <w:numPr>
          <w:ilvl w:val="0"/>
          <w:numId w:val="26"/>
        </w:numPr>
        <w:overflowPunct w:val="0"/>
        <w:spacing w:before="156" w:beforeLines="50" w:after="156" w:afterLines="50" w:line="360" w:lineRule="auto"/>
        <w:ind w:left="420" w:leftChars="200"/>
        <w:outlineLvl w:val="0"/>
        <w:rPr>
          <w:rFonts w:hint="eastAsia" w:ascii="宋体" w:hAnsi="宋体" w:cs="宋体"/>
          <w:bCs/>
          <w:highlight w:val="none"/>
        </w:rPr>
      </w:pPr>
      <w:bookmarkStart w:id="169" w:name="_Toc32119"/>
      <w:bookmarkStart w:id="170" w:name="_Toc704"/>
      <w:bookmarkStart w:id="171" w:name="_Toc20157"/>
      <w:bookmarkStart w:id="172" w:name="_Toc10250"/>
      <w:bookmarkStart w:id="173" w:name="_Toc10729"/>
      <w:r>
        <w:rPr>
          <w:rFonts w:hint="eastAsia" w:ascii="宋体" w:hAnsi="宋体" w:cs="宋体"/>
          <w:bCs/>
          <w:highlight w:val="none"/>
        </w:rPr>
        <w:t>不同投标人委托同一单位或个人办理投标事宜；</w:t>
      </w:r>
      <w:bookmarkEnd w:id="169"/>
      <w:bookmarkEnd w:id="170"/>
      <w:bookmarkEnd w:id="171"/>
      <w:bookmarkEnd w:id="172"/>
      <w:bookmarkEnd w:id="173"/>
    </w:p>
    <w:p>
      <w:pPr>
        <w:numPr>
          <w:ilvl w:val="0"/>
          <w:numId w:val="26"/>
        </w:numPr>
        <w:overflowPunct w:val="0"/>
        <w:spacing w:before="156" w:beforeLines="50" w:after="156" w:afterLines="50" w:line="360" w:lineRule="auto"/>
        <w:ind w:left="420" w:leftChars="200"/>
        <w:outlineLvl w:val="0"/>
        <w:rPr>
          <w:rFonts w:hint="eastAsia" w:ascii="宋体" w:hAnsi="宋体" w:cs="宋体"/>
          <w:bCs/>
          <w:highlight w:val="none"/>
        </w:rPr>
      </w:pPr>
      <w:bookmarkStart w:id="174" w:name="_Toc8548"/>
      <w:bookmarkStart w:id="175" w:name="_Toc20854"/>
      <w:bookmarkStart w:id="176" w:name="_Toc24614"/>
      <w:bookmarkStart w:id="177" w:name="_Toc19751"/>
      <w:bookmarkStart w:id="178" w:name="_Toc17144"/>
      <w:r>
        <w:rPr>
          <w:rFonts w:hint="eastAsia" w:ascii="宋体" w:hAnsi="宋体" w:cs="宋体"/>
          <w:bCs/>
          <w:highlight w:val="none"/>
        </w:rPr>
        <w:t>不同投标人的投标文件载明的项目管理成员为同一人；</w:t>
      </w:r>
      <w:bookmarkEnd w:id="174"/>
      <w:bookmarkEnd w:id="175"/>
      <w:bookmarkEnd w:id="176"/>
      <w:bookmarkEnd w:id="177"/>
      <w:bookmarkEnd w:id="178"/>
    </w:p>
    <w:p>
      <w:pPr>
        <w:numPr>
          <w:ilvl w:val="0"/>
          <w:numId w:val="26"/>
        </w:numPr>
        <w:overflowPunct w:val="0"/>
        <w:spacing w:before="156" w:beforeLines="50" w:after="156" w:afterLines="50" w:line="360" w:lineRule="auto"/>
        <w:ind w:left="420" w:leftChars="200"/>
        <w:outlineLvl w:val="0"/>
        <w:rPr>
          <w:rFonts w:hint="eastAsia" w:ascii="宋体" w:hAnsi="宋体" w:cs="宋体"/>
          <w:bCs/>
          <w:highlight w:val="none"/>
        </w:rPr>
      </w:pPr>
      <w:bookmarkStart w:id="179" w:name="_Toc18122"/>
      <w:bookmarkStart w:id="180" w:name="_Toc13912"/>
      <w:bookmarkStart w:id="181" w:name="_Toc3037"/>
      <w:bookmarkStart w:id="182" w:name="_Toc17232"/>
      <w:bookmarkStart w:id="183" w:name="_Toc6088"/>
      <w:r>
        <w:rPr>
          <w:rFonts w:hint="eastAsia" w:ascii="宋体" w:hAnsi="宋体" w:cs="宋体"/>
          <w:bCs/>
          <w:highlight w:val="none"/>
        </w:rPr>
        <w:t>不同投标人的投标文件异常一致或投标报价呈规律性差异；</w:t>
      </w:r>
      <w:bookmarkEnd w:id="179"/>
      <w:bookmarkEnd w:id="180"/>
      <w:bookmarkEnd w:id="181"/>
      <w:bookmarkEnd w:id="182"/>
      <w:bookmarkEnd w:id="183"/>
    </w:p>
    <w:p>
      <w:pPr>
        <w:numPr>
          <w:ilvl w:val="0"/>
          <w:numId w:val="26"/>
        </w:numPr>
        <w:overflowPunct w:val="0"/>
        <w:spacing w:before="156" w:beforeLines="50" w:after="156" w:afterLines="50" w:line="360" w:lineRule="auto"/>
        <w:ind w:left="420" w:leftChars="200"/>
        <w:outlineLvl w:val="0"/>
        <w:rPr>
          <w:rFonts w:hint="eastAsia" w:ascii="宋体" w:hAnsi="宋体" w:cs="宋体"/>
          <w:bCs/>
          <w:highlight w:val="none"/>
        </w:rPr>
      </w:pPr>
      <w:bookmarkStart w:id="184" w:name="_Toc26628"/>
      <w:bookmarkStart w:id="185" w:name="_Toc23442"/>
      <w:bookmarkStart w:id="186" w:name="_Toc2455"/>
      <w:bookmarkStart w:id="187" w:name="_Toc27722"/>
      <w:bookmarkStart w:id="188" w:name="_Toc5264"/>
      <w:r>
        <w:rPr>
          <w:rFonts w:hint="eastAsia" w:ascii="宋体" w:hAnsi="宋体" w:cs="宋体"/>
          <w:bCs/>
          <w:highlight w:val="none"/>
        </w:rPr>
        <w:t>不同投标人的投标文件相互混装；</w:t>
      </w:r>
      <w:bookmarkEnd w:id="184"/>
      <w:bookmarkEnd w:id="185"/>
      <w:bookmarkEnd w:id="186"/>
      <w:bookmarkEnd w:id="187"/>
      <w:bookmarkEnd w:id="188"/>
    </w:p>
    <w:p>
      <w:pPr>
        <w:numPr>
          <w:ilvl w:val="0"/>
          <w:numId w:val="26"/>
        </w:numPr>
        <w:overflowPunct w:val="0"/>
        <w:spacing w:before="156" w:beforeLines="50" w:after="156" w:afterLines="50" w:line="360" w:lineRule="auto"/>
        <w:ind w:left="420" w:leftChars="200"/>
        <w:outlineLvl w:val="0"/>
        <w:rPr>
          <w:rFonts w:hint="eastAsia" w:ascii="宋体" w:hAnsi="宋体" w:cs="宋体"/>
          <w:bCs/>
          <w:highlight w:val="none"/>
        </w:rPr>
      </w:pPr>
      <w:bookmarkStart w:id="189" w:name="_Toc16709"/>
      <w:bookmarkStart w:id="190" w:name="_Toc23410"/>
      <w:bookmarkStart w:id="191" w:name="_Toc27580"/>
      <w:bookmarkStart w:id="192" w:name="_Toc23339"/>
      <w:bookmarkStart w:id="193" w:name="_Toc23294"/>
      <w:r>
        <w:rPr>
          <w:rFonts w:hint="eastAsia" w:ascii="宋体" w:hAnsi="宋体" w:cs="宋体"/>
          <w:bCs/>
          <w:highlight w:val="none"/>
        </w:rPr>
        <w:t>不同投标人的投标保证金从同一单位或个人的账户转出。</w:t>
      </w:r>
      <w:bookmarkEnd w:id="189"/>
      <w:bookmarkEnd w:id="190"/>
      <w:bookmarkEnd w:id="191"/>
      <w:bookmarkEnd w:id="192"/>
      <w:bookmarkEnd w:id="193"/>
    </w:p>
    <w:p>
      <w:pPr>
        <w:numPr>
          <w:ilvl w:val="0"/>
          <w:numId w:val="27"/>
        </w:numPr>
        <w:overflowPunct w:val="0"/>
        <w:spacing w:before="156" w:beforeLines="50" w:after="156" w:afterLines="50" w:line="360" w:lineRule="auto"/>
        <w:ind w:firstLine="420" w:firstLineChars="200"/>
        <w:outlineLvl w:val="0"/>
        <w:rPr>
          <w:rFonts w:hint="eastAsia" w:ascii="宋体" w:hAnsi="宋体" w:cs="宋体"/>
          <w:bCs/>
          <w:highlight w:val="none"/>
        </w:rPr>
      </w:pPr>
      <w:bookmarkStart w:id="194" w:name="_Toc27425"/>
      <w:bookmarkStart w:id="195" w:name="_Toc27786"/>
      <w:bookmarkStart w:id="196" w:name="_Toc1555"/>
      <w:bookmarkStart w:id="197" w:name="_Toc2970"/>
      <w:bookmarkStart w:id="198" w:name="_Toc22914"/>
      <w:r>
        <w:rPr>
          <w:rFonts w:hint="eastAsia" w:ascii="宋体" w:hAnsi="宋体" w:cs="宋体"/>
          <w:bCs/>
          <w:highlight w:val="none"/>
        </w:rPr>
        <w:t>有下列情形之一的，属于招标人与投标人串通投标：</w:t>
      </w:r>
      <w:bookmarkEnd w:id="194"/>
      <w:bookmarkEnd w:id="195"/>
      <w:bookmarkEnd w:id="196"/>
      <w:bookmarkEnd w:id="197"/>
      <w:bookmarkEnd w:id="198"/>
    </w:p>
    <w:p>
      <w:pPr>
        <w:numPr>
          <w:ilvl w:val="0"/>
          <w:numId w:val="28"/>
        </w:numPr>
        <w:overflowPunct w:val="0"/>
        <w:spacing w:before="156" w:beforeLines="50" w:after="156" w:afterLines="50" w:line="360" w:lineRule="auto"/>
        <w:ind w:left="420" w:leftChars="200"/>
        <w:outlineLvl w:val="0"/>
        <w:rPr>
          <w:rFonts w:hint="eastAsia" w:ascii="宋体" w:hAnsi="宋体" w:cs="宋体"/>
          <w:bCs/>
          <w:highlight w:val="none"/>
        </w:rPr>
      </w:pPr>
      <w:bookmarkStart w:id="199" w:name="_Toc18274"/>
      <w:bookmarkStart w:id="200" w:name="_Toc3102"/>
      <w:bookmarkStart w:id="201" w:name="_Toc11173"/>
      <w:bookmarkStart w:id="202" w:name="_Toc12407"/>
      <w:bookmarkStart w:id="203" w:name="_Toc8450"/>
      <w:r>
        <w:rPr>
          <w:rFonts w:hint="eastAsia" w:ascii="宋体" w:hAnsi="宋体" w:cs="宋体"/>
          <w:bCs/>
          <w:highlight w:val="none"/>
        </w:rPr>
        <w:t>招标人在开标前开启投标文件并将有关信息泄露给其他投标人；</w:t>
      </w:r>
      <w:bookmarkEnd w:id="199"/>
      <w:bookmarkEnd w:id="200"/>
      <w:bookmarkEnd w:id="201"/>
      <w:bookmarkEnd w:id="202"/>
      <w:bookmarkEnd w:id="203"/>
    </w:p>
    <w:p>
      <w:pPr>
        <w:numPr>
          <w:ilvl w:val="0"/>
          <w:numId w:val="28"/>
        </w:numPr>
        <w:overflowPunct w:val="0"/>
        <w:spacing w:before="156" w:beforeLines="50" w:after="156" w:afterLines="50" w:line="360" w:lineRule="auto"/>
        <w:ind w:left="420" w:leftChars="200"/>
        <w:outlineLvl w:val="0"/>
        <w:rPr>
          <w:rFonts w:hint="eastAsia" w:ascii="宋体" w:hAnsi="宋体" w:cs="宋体"/>
          <w:bCs/>
          <w:highlight w:val="none"/>
        </w:rPr>
      </w:pPr>
      <w:bookmarkStart w:id="204" w:name="_Toc29974"/>
      <w:bookmarkStart w:id="205" w:name="_Toc5076"/>
      <w:bookmarkStart w:id="206" w:name="_Toc28602"/>
      <w:bookmarkStart w:id="207" w:name="_Toc10558"/>
      <w:bookmarkStart w:id="208" w:name="_Toc8365"/>
      <w:r>
        <w:rPr>
          <w:rFonts w:hint="eastAsia" w:ascii="宋体" w:hAnsi="宋体" w:cs="宋体"/>
          <w:bCs/>
          <w:highlight w:val="none"/>
        </w:rPr>
        <w:t>招标人直接或间接向投标人泄露标底、评标委员会成员等信息；</w:t>
      </w:r>
      <w:bookmarkEnd w:id="204"/>
      <w:bookmarkEnd w:id="205"/>
      <w:bookmarkEnd w:id="206"/>
      <w:bookmarkEnd w:id="207"/>
      <w:bookmarkEnd w:id="208"/>
    </w:p>
    <w:p>
      <w:pPr>
        <w:numPr>
          <w:ilvl w:val="0"/>
          <w:numId w:val="28"/>
        </w:numPr>
        <w:overflowPunct w:val="0"/>
        <w:spacing w:before="156" w:beforeLines="50" w:after="156" w:afterLines="50" w:line="360" w:lineRule="auto"/>
        <w:ind w:left="420" w:leftChars="200"/>
        <w:outlineLvl w:val="0"/>
        <w:rPr>
          <w:rFonts w:hint="eastAsia" w:ascii="宋体" w:hAnsi="宋体" w:cs="宋体"/>
          <w:bCs/>
          <w:highlight w:val="none"/>
        </w:rPr>
      </w:pPr>
      <w:bookmarkStart w:id="209" w:name="_Toc29894"/>
      <w:bookmarkStart w:id="210" w:name="_Toc24080"/>
      <w:bookmarkStart w:id="211" w:name="_Toc19671"/>
      <w:bookmarkStart w:id="212" w:name="_Toc14711"/>
      <w:bookmarkStart w:id="213" w:name="_Toc16843"/>
      <w:r>
        <w:rPr>
          <w:rFonts w:hint="eastAsia" w:ascii="宋体" w:hAnsi="宋体" w:cs="宋体"/>
          <w:bCs/>
          <w:highlight w:val="none"/>
        </w:rPr>
        <w:t>招标人明示或暗示投标人压低或抬高投标报价；</w:t>
      </w:r>
      <w:bookmarkEnd w:id="209"/>
      <w:bookmarkEnd w:id="210"/>
      <w:bookmarkEnd w:id="211"/>
      <w:bookmarkEnd w:id="212"/>
      <w:bookmarkEnd w:id="213"/>
    </w:p>
    <w:p>
      <w:pPr>
        <w:numPr>
          <w:ilvl w:val="0"/>
          <w:numId w:val="28"/>
        </w:numPr>
        <w:overflowPunct w:val="0"/>
        <w:spacing w:before="156" w:beforeLines="50" w:after="156" w:afterLines="50" w:line="360" w:lineRule="auto"/>
        <w:ind w:left="420" w:leftChars="200"/>
        <w:outlineLvl w:val="0"/>
        <w:rPr>
          <w:rFonts w:hint="eastAsia" w:ascii="宋体" w:hAnsi="宋体" w:cs="宋体"/>
          <w:bCs/>
          <w:highlight w:val="none"/>
        </w:rPr>
      </w:pPr>
      <w:bookmarkStart w:id="214" w:name="_Toc10942"/>
      <w:bookmarkStart w:id="215" w:name="_Toc9173"/>
      <w:bookmarkStart w:id="216" w:name="_Toc28389"/>
      <w:bookmarkStart w:id="217" w:name="_Toc113"/>
      <w:bookmarkStart w:id="218" w:name="_Toc2428"/>
      <w:r>
        <w:rPr>
          <w:rFonts w:hint="eastAsia" w:ascii="宋体" w:hAnsi="宋体" w:cs="宋体"/>
          <w:bCs/>
          <w:highlight w:val="none"/>
        </w:rPr>
        <w:t>招标人授意投标人撤换、修改投标文件；</w:t>
      </w:r>
      <w:bookmarkEnd w:id="214"/>
      <w:bookmarkEnd w:id="215"/>
      <w:bookmarkEnd w:id="216"/>
      <w:bookmarkEnd w:id="217"/>
      <w:bookmarkEnd w:id="218"/>
    </w:p>
    <w:p>
      <w:pPr>
        <w:numPr>
          <w:ilvl w:val="0"/>
          <w:numId w:val="28"/>
        </w:numPr>
        <w:overflowPunct w:val="0"/>
        <w:spacing w:before="156" w:beforeLines="50" w:after="156" w:afterLines="50" w:line="360" w:lineRule="auto"/>
        <w:ind w:left="420" w:leftChars="200"/>
        <w:outlineLvl w:val="0"/>
        <w:rPr>
          <w:rFonts w:hint="eastAsia" w:ascii="宋体" w:hAnsi="宋体" w:cs="宋体"/>
          <w:bCs/>
          <w:highlight w:val="none"/>
        </w:rPr>
      </w:pPr>
      <w:bookmarkStart w:id="219" w:name="_Toc15214"/>
      <w:bookmarkStart w:id="220" w:name="_Toc8388"/>
      <w:bookmarkStart w:id="221" w:name="_Toc23802"/>
      <w:bookmarkStart w:id="222" w:name="_Toc31041"/>
      <w:bookmarkStart w:id="223" w:name="_Toc28218"/>
      <w:r>
        <w:rPr>
          <w:rFonts w:hint="eastAsia" w:ascii="宋体" w:hAnsi="宋体" w:cs="宋体"/>
          <w:bCs/>
          <w:highlight w:val="none"/>
        </w:rPr>
        <w:t>招标人明示或暗示投标人为特定投标人中标提供方便；</w:t>
      </w:r>
      <w:bookmarkEnd w:id="219"/>
      <w:bookmarkEnd w:id="220"/>
      <w:bookmarkEnd w:id="221"/>
      <w:bookmarkEnd w:id="222"/>
      <w:bookmarkEnd w:id="223"/>
    </w:p>
    <w:p>
      <w:pPr>
        <w:numPr>
          <w:ilvl w:val="0"/>
          <w:numId w:val="28"/>
        </w:numPr>
        <w:overflowPunct w:val="0"/>
        <w:spacing w:before="156" w:beforeLines="50" w:after="156" w:afterLines="50" w:line="360" w:lineRule="auto"/>
        <w:ind w:left="420" w:leftChars="200"/>
        <w:outlineLvl w:val="0"/>
        <w:rPr>
          <w:rFonts w:hint="eastAsia" w:ascii="宋体" w:hAnsi="宋体" w:cs="宋体"/>
          <w:bCs/>
          <w:highlight w:val="none"/>
        </w:rPr>
      </w:pPr>
      <w:bookmarkStart w:id="224" w:name="_Toc15500"/>
      <w:bookmarkStart w:id="225" w:name="_Toc19500"/>
      <w:bookmarkStart w:id="226" w:name="_Toc21676"/>
      <w:bookmarkStart w:id="227" w:name="_Toc18306"/>
      <w:bookmarkStart w:id="228" w:name="_Toc5566"/>
      <w:r>
        <w:rPr>
          <w:rFonts w:hint="eastAsia" w:ascii="宋体" w:hAnsi="宋体" w:cs="宋体"/>
          <w:bCs/>
          <w:highlight w:val="none"/>
        </w:rPr>
        <w:t>招标人与投标人为谋求特定投标人中标而采取的其他串通行为。</w:t>
      </w:r>
      <w:bookmarkEnd w:id="224"/>
      <w:bookmarkEnd w:id="225"/>
      <w:bookmarkEnd w:id="226"/>
      <w:bookmarkEnd w:id="227"/>
      <w:bookmarkEnd w:id="228"/>
    </w:p>
    <w:p>
      <w:pPr>
        <w:numPr>
          <w:ilvl w:val="0"/>
          <w:numId w:val="29"/>
        </w:numPr>
        <w:overflowPunct w:val="0"/>
        <w:spacing w:before="156" w:beforeLines="50" w:after="156" w:afterLines="50" w:line="360" w:lineRule="auto"/>
        <w:ind w:firstLine="420" w:firstLineChars="200"/>
        <w:outlineLvl w:val="0"/>
        <w:rPr>
          <w:rFonts w:hint="eastAsia" w:ascii="宋体" w:hAnsi="宋体" w:cs="宋体"/>
          <w:bCs/>
          <w:highlight w:val="none"/>
        </w:rPr>
      </w:pPr>
      <w:bookmarkStart w:id="229" w:name="_Toc32471"/>
      <w:bookmarkStart w:id="230" w:name="_Toc3293"/>
      <w:bookmarkStart w:id="231" w:name="_Toc17000"/>
      <w:bookmarkStart w:id="232" w:name="_Toc31880"/>
      <w:bookmarkStart w:id="233" w:name="_Toc11190"/>
      <w:r>
        <w:rPr>
          <w:rFonts w:hint="eastAsia" w:ascii="宋体" w:hAnsi="宋体" w:cs="宋体"/>
          <w:bCs/>
          <w:highlight w:val="none"/>
        </w:rPr>
        <w:t>投标人有下列情形之一的，属于弄虚作假的行为：</w:t>
      </w:r>
      <w:bookmarkEnd w:id="229"/>
      <w:bookmarkEnd w:id="230"/>
      <w:bookmarkEnd w:id="231"/>
      <w:bookmarkEnd w:id="232"/>
      <w:bookmarkEnd w:id="233"/>
    </w:p>
    <w:p>
      <w:pPr>
        <w:numPr>
          <w:ilvl w:val="0"/>
          <w:numId w:val="30"/>
        </w:numPr>
        <w:overflowPunct w:val="0"/>
        <w:spacing w:before="156" w:beforeLines="50" w:after="156" w:afterLines="50" w:line="360" w:lineRule="auto"/>
        <w:ind w:firstLine="420" w:firstLineChars="200"/>
        <w:outlineLvl w:val="0"/>
        <w:rPr>
          <w:rFonts w:hint="eastAsia" w:ascii="宋体" w:hAnsi="宋体" w:cs="宋体"/>
          <w:bCs/>
          <w:highlight w:val="none"/>
        </w:rPr>
      </w:pPr>
      <w:bookmarkStart w:id="234" w:name="_Toc2419"/>
      <w:bookmarkStart w:id="235" w:name="_Toc24035"/>
      <w:bookmarkStart w:id="236" w:name="_Toc9595"/>
      <w:bookmarkStart w:id="237" w:name="_Toc18477"/>
      <w:bookmarkStart w:id="238" w:name="_Toc8296"/>
      <w:r>
        <w:rPr>
          <w:rFonts w:hint="eastAsia" w:ascii="宋体" w:hAnsi="宋体" w:cs="宋体"/>
          <w:bCs/>
          <w:highlight w:val="none"/>
        </w:rPr>
        <w:t>使用通过受让或租借等方式获取的资格、资质证书投标；</w:t>
      </w:r>
      <w:bookmarkEnd w:id="234"/>
      <w:bookmarkEnd w:id="235"/>
      <w:bookmarkEnd w:id="236"/>
      <w:bookmarkEnd w:id="237"/>
      <w:bookmarkEnd w:id="238"/>
    </w:p>
    <w:p>
      <w:pPr>
        <w:numPr>
          <w:ilvl w:val="0"/>
          <w:numId w:val="30"/>
        </w:numPr>
        <w:overflowPunct w:val="0"/>
        <w:spacing w:before="156" w:beforeLines="50" w:after="156" w:afterLines="50" w:line="360" w:lineRule="auto"/>
        <w:ind w:firstLine="420" w:firstLineChars="200"/>
        <w:outlineLvl w:val="0"/>
        <w:rPr>
          <w:rFonts w:hint="eastAsia" w:ascii="宋体" w:hAnsi="宋体" w:cs="宋体"/>
          <w:bCs/>
          <w:highlight w:val="none"/>
        </w:rPr>
      </w:pPr>
      <w:bookmarkStart w:id="239" w:name="_Toc19925"/>
      <w:bookmarkStart w:id="240" w:name="_Toc13116"/>
      <w:bookmarkStart w:id="241" w:name="_Toc2303"/>
      <w:bookmarkStart w:id="242" w:name="_Toc12740"/>
      <w:bookmarkStart w:id="243" w:name="_Toc30796"/>
      <w:r>
        <w:rPr>
          <w:rFonts w:hint="eastAsia" w:ascii="宋体" w:hAnsi="宋体" w:cs="宋体"/>
          <w:bCs/>
          <w:highlight w:val="none"/>
        </w:rPr>
        <w:t>使用伪造、变造的许可证件；</w:t>
      </w:r>
      <w:bookmarkEnd w:id="239"/>
      <w:bookmarkEnd w:id="240"/>
      <w:bookmarkEnd w:id="241"/>
      <w:bookmarkEnd w:id="242"/>
      <w:bookmarkEnd w:id="243"/>
    </w:p>
    <w:p>
      <w:pPr>
        <w:numPr>
          <w:ilvl w:val="0"/>
          <w:numId w:val="30"/>
        </w:numPr>
        <w:overflowPunct w:val="0"/>
        <w:spacing w:before="156" w:beforeLines="50" w:after="156" w:afterLines="50" w:line="360" w:lineRule="auto"/>
        <w:ind w:firstLine="420" w:firstLineChars="200"/>
        <w:outlineLvl w:val="0"/>
        <w:rPr>
          <w:rFonts w:hint="eastAsia" w:ascii="宋体" w:hAnsi="宋体" w:cs="宋体"/>
          <w:bCs/>
          <w:highlight w:val="none"/>
        </w:rPr>
      </w:pPr>
      <w:bookmarkStart w:id="244" w:name="_Toc2561"/>
      <w:bookmarkStart w:id="245" w:name="_Toc5857"/>
      <w:bookmarkStart w:id="246" w:name="_Toc8300"/>
      <w:bookmarkStart w:id="247" w:name="_Toc10078"/>
      <w:bookmarkStart w:id="248" w:name="_Toc9316"/>
      <w:r>
        <w:rPr>
          <w:rFonts w:hint="eastAsia" w:ascii="宋体" w:hAnsi="宋体" w:cs="宋体"/>
          <w:bCs/>
          <w:highlight w:val="none"/>
        </w:rPr>
        <w:t>提供虚假的财务状况或业绩；</w:t>
      </w:r>
      <w:bookmarkEnd w:id="244"/>
      <w:bookmarkEnd w:id="245"/>
      <w:bookmarkEnd w:id="246"/>
      <w:bookmarkEnd w:id="247"/>
      <w:bookmarkEnd w:id="248"/>
    </w:p>
    <w:p>
      <w:pPr>
        <w:numPr>
          <w:ilvl w:val="0"/>
          <w:numId w:val="30"/>
        </w:numPr>
        <w:overflowPunct w:val="0"/>
        <w:spacing w:before="156" w:beforeLines="50" w:after="156" w:afterLines="50" w:line="360" w:lineRule="auto"/>
        <w:ind w:firstLine="420" w:firstLineChars="200"/>
        <w:outlineLvl w:val="0"/>
        <w:rPr>
          <w:rFonts w:hint="eastAsia" w:ascii="宋体" w:hAnsi="宋体" w:cs="宋体"/>
          <w:bCs/>
          <w:highlight w:val="none"/>
        </w:rPr>
      </w:pPr>
      <w:bookmarkStart w:id="249" w:name="_Toc22454"/>
      <w:bookmarkStart w:id="250" w:name="_Toc18961"/>
      <w:bookmarkStart w:id="251" w:name="_Toc7076"/>
      <w:bookmarkStart w:id="252" w:name="_Toc10145"/>
      <w:bookmarkStart w:id="253" w:name="_Toc17348"/>
      <w:r>
        <w:rPr>
          <w:rFonts w:hint="eastAsia" w:ascii="宋体" w:hAnsi="宋体" w:cs="宋体"/>
          <w:bCs/>
          <w:highlight w:val="none"/>
        </w:rPr>
        <w:t>提供虚假的项目负责人或主要技术人员简历、劳动关系证明；</w:t>
      </w:r>
      <w:bookmarkEnd w:id="249"/>
      <w:bookmarkEnd w:id="250"/>
      <w:bookmarkEnd w:id="251"/>
      <w:bookmarkEnd w:id="252"/>
      <w:bookmarkEnd w:id="253"/>
    </w:p>
    <w:p>
      <w:pPr>
        <w:numPr>
          <w:ilvl w:val="0"/>
          <w:numId w:val="30"/>
        </w:numPr>
        <w:overflowPunct w:val="0"/>
        <w:spacing w:before="156" w:beforeLines="50" w:after="156" w:afterLines="50" w:line="360" w:lineRule="auto"/>
        <w:ind w:firstLine="420" w:firstLineChars="200"/>
        <w:outlineLvl w:val="0"/>
        <w:rPr>
          <w:rFonts w:hint="eastAsia" w:ascii="宋体" w:hAnsi="宋体" w:cs="宋体"/>
          <w:bCs/>
          <w:highlight w:val="none"/>
        </w:rPr>
      </w:pPr>
      <w:bookmarkStart w:id="254" w:name="_Toc19801"/>
      <w:bookmarkStart w:id="255" w:name="_Toc14999"/>
      <w:bookmarkStart w:id="256" w:name="_Toc3890"/>
      <w:bookmarkStart w:id="257" w:name="_Toc23322"/>
      <w:bookmarkStart w:id="258" w:name="_Toc32223"/>
      <w:r>
        <w:rPr>
          <w:rFonts w:hint="eastAsia" w:ascii="宋体" w:hAnsi="宋体" w:cs="宋体"/>
          <w:bCs/>
          <w:highlight w:val="none"/>
        </w:rPr>
        <w:t>提供虚假的信用状况；</w:t>
      </w:r>
      <w:bookmarkEnd w:id="254"/>
      <w:bookmarkEnd w:id="255"/>
      <w:bookmarkEnd w:id="256"/>
      <w:bookmarkEnd w:id="257"/>
      <w:bookmarkEnd w:id="258"/>
    </w:p>
    <w:p>
      <w:pPr>
        <w:numPr>
          <w:ilvl w:val="0"/>
          <w:numId w:val="30"/>
        </w:numPr>
        <w:overflowPunct w:val="0"/>
        <w:spacing w:before="156" w:beforeLines="50" w:after="156" w:afterLines="50" w:line="360" w:lineRule="auto"/>
        <w:ind w:firstLine="420" w:firstLineChars="200"/>
        <w:outlineLvl w:val="0"/>
        <w:rPr>
          <w:rFonts w:hint="eastAsia" w:ascii="宋体" w:hAnsi="宋体" w:cs="宋体"/>
          <w:bCs/>
          <w:highlight w:val="none"/>
        </w:rPr>
      </w:pPr>
      <w:bookmarkStart w:id="259" w:name="_Toc24544"/>
      <w:bookmarkStart w:id="260" w:name="_Toc7543"/>
      <w:bookmarkStart w:id="261" w:name="_Toc18396"/>
      <w:bookmarkStart w:id="262" w:name="_Toc23957"/>
      <w:bookmarkStart w:id="263" w:name="_Toc15692"/>
      <w:r>
        <w:rPr>
          <w:rFonts w:hint="eastAsia" w:ascii="宋体" w:hAnsi="宋体" w:cs="宋体"/>
          <w:bCs/>
          <w:highlight w:val="none"/>
        </w:rPr>
        <w:t>其他弄虚作假的行为。</w:t>
      </w:r>
      <w:bookmarkEnd w:id="259"/>
      <w:bookmarkEnd w:id="260"/>
      <w:bookmarkEnd w:id="261"/>
      <w:bookmarkEnd w:id="262"/>
      <w:bookmarkEnd w:id="263"/>
    </w:p>
    <w:p>
      <w:pPr>
        <w:overflowPunct w:val="0"/>
        <w:spacing w:before="156" w:beforeLines="50" w:after="156" w:afterLines="50" w:line="360" w:lineRule="auto"/>
        <w:ind w:firstLine="422" w:firstLineChars="200"/>
        <w:outlineLvl w:val="0"/>
        <w:rPr>
          <w:rFonts w:hint="eastAsia" w:ascii="宋体" w:hAnsi="宋体" w:cs="宋体"/>
          <w:b/>
          <w:highlight w:val="none"/>
        </w:rPr>
      </w:pPr>
      <w:bookmarkStart w:id="264" w:name="_Toc8050"/>
      <w:bookmarkStart w:id="265" w:name="_Toc23312"/>
      <w:bookmarkStart w:id="266" w:name="_Toc24300"/>
      <w:bookmarkStart w:id="267" w:name="_Toc4701"/>
      <w:bookmarkStart w:id="268" w:name="_Toc21112"/>
      <w:r>
        <w:rPr>
          <w:rFonts w:hint="eastAsia" w:ascii="宋体" w:hAnsi="宋体" w:cs="宋体"/>
          <w:b/>
          <w:highlight w:val="none"/>
        </w:rPr>
        <w:t>3.6投标文件的澄清和说明</w:t>
      </w:r>
      <w:bookmarkEnd w:id="264"/>
      <w:bookmarkEnd w:id="265"/>
      <w:bookmarkEnd w:id="266"/>
      <w:bookmarkEnd w:id="267"/>
      <w:bookmarkEnd w:id="268"/>
    </w:p>
    <w:p>
      <w:pPr>
        <w:overflowPunct w:val="0"/>
        <w:spacing w:before="156" w:beforeLines="50" w:after="156" w:afterLines="50" w:line="360" w:lineRule="auto"/>
        <w:ind w:firstLine="420" w:firstLineChars="200"/>
        <w:outlineLvl w:val="0"/>
        <w:rPr>
          <w:rFonts w:hint="eastAsia" w:ascii="宋体" w:hAnsi="宋体" w:cs="宋体"/>
          <w:bCs/>
          <w:highlight w:val="none"/>
        </w:rPr>
      </w:pPr>
      <w:bookmarkStart w:id="269" w:name="_Toc19220"/>
      <w:bookmarkStart w:id="270" w:name="_Toc477"/>
      <w:bookmarkStart w:id="271" w:name="_Toc17481"/>
      <w:bookmarkStart w:id="272" w:name="_Toc18061"/>
      <w:bookmarkStart w:id="273" w:name="_Toc653"/>
      <w:r>
        <w:rPr>
          <w:rFonts w:hint="eastAsia" w:ascii="宋体" w:hAnsi="宋体" w:cs="宋体"/>
          <w:bCs/>
          <w:highlight w:val="none"/>
        </w:rPr>
        <w:t>3.6.1在评标过程中,评标委员会可以书面形式要求投标人对所提交投标文件中含义不明确的内容、明显文字或计算错误进行书面澄清或说明。评标委员会不接受投标人主动提出的澄清、说明。投标人不按评标委员会要求澄清或说明的,评标委员会应否决其投标。</w:t>
      </w:r>
      <w:bookmarkEnd w:id="269"/>
      <w:bookmarkEnd w:id="270"/>
      <w:bookmarkEnd w:id="271"/>
      <w:bookmarkEnd w:id="272"/>
      <w:bookmarkEnd w:id="273"/>
    </w:p>
    <w:p>
      <w:pPr>
        <w:overflowPunct w:val="0"/>
        <w:spacing w:before="156" w:beforeLines="50" w:after="156" w:afterLines="50" w:line="360" w:lineRule="auto"/>
        <w:ind w:firstLine="420" w:firstLineChars="200"/>
        <w:outlineLvl w:val="0"/>
        <w:rPr>
          <w:rFonts w:hint="eastAsia" w:ascii="宋体" w:hAnsi="宋体" w:cs="宋体"/>
          <w:bCs/>
          <w:highlight w:val="none"/>
        </w:rPr>
      </w:pPr>
      <w:bookmarkStart w:id="274" w:name="_Toc25385"/>
      <w:bookmarkStart w:id="275" w:name="_Toc10491"/>
      <w:bookmarkStart w:id="276" w:name="_Toc20690"/>
      <w:bookmarkStart w:id="277" w:name="_Toc23765"/>
      <w:bookmarkStart w:id="278" w:name="_Toc9646"/>
      <w:r>
        <w:rPr>
          <w:rFonts w:hint="eastAsia" w:ascii="宋体" w:hAnsi="宋体" w:cs="宋体"/>
          <w:bCs/>
          <w:highlight w:val="none"/>
        </w:rPr>
        <w:t>3.6,2澄清和说明不得超出投标文件的范围或改变投标文件的实质性内容(算术性错误修正的除外)。投标人的书面澄清、说明属于投标文件的组成部分。</w:t>
      </w:r>
      <w:bookmarkEnd w:id="274"/>
      <w:bookmarkEnd w:id="275"/>
      <w:bookmarkEnd w:id="276"/>
      <w:bookmarkEnd w:id="277"/>
      <w:bookmarkEnd w:id="278"/>
    </w:p>
    <w:p>
      <w:pPr>
        <w:overflowPunct w:val="0"/>
        <w:spacing w:before="156" w:beforeLines="50" w:after="156" w:afterLines="50" w:line="360" w:lineRule="auto"/>
        <w:ind w:firstLine="420" w:firstLineChars="200"/>
        <w:outlineLvl w:val="0"/>
        <w:rPr>
          <w:rFonts w:hint="eastAsia" w:ascii="宋体" w:hAnsi="宋体" w:cs="宋体"/>
          <w:bCs/>
          <w:highlight w:val="none"/>
        </w:rPr>
      </w:pPr>
      <w:bookmarkStart w:id="279" w:name="_Toc31726"/>
      <w:bookmarkStart w:id="280" w:name="_Toc29236"/>
      <w:bookmarkStart w:id="281" w:name="_Toc143"/>
      <w:bookmarkStart w:id="282" w:name="_Toc16932"/>
      <w:bookmarkStart w:id="283" w:name="_Toc23451"/>
      <w:r>
        <w:rPr>
          <w:rFonts w:hint="eastAsia" w:ascii="宋体" w:hAnsi="宋体" w:cs="宋体"/>
          <w:bCs/>
          <w:highlight w:val="none"/>
        </w:rPr>
        <w:t>3.6.3评标委员会不得暗示或诱导投标人作出澄清、说明，对投标人提交的澄清、说明有疑问的，可以要求投标人进一步澄清或说明,直至满足评标委员会的要求。</w:t>
      </w:r>
      <w:bookmarkEnd w:id="279"/>
      <w:bookmarkEnd w:id="280"/>
      <w:bookmarkEnd w:id="281"/>
      <w:bookmarkEnd w:id="282"/>
      <w:bookmarkEnd w:id="283"/>
    </w:p>
    <w:p>
      <w:pPr>
        <w:overflowPunct w:val="0"/>
        <w:spacing w:before="156" w:beforeLines="50" w:after="156" w:afterLines="50" w:line="360" w:lineRule="auto"/>
        <w:ind w:firstLine="420" w:firstLineChars="200"/>
        <w:outlineLvl w:val="0"/>
        <w:rPr>
          <w:rFonts w:hint="eastAsia" w:ascii="宋体" w:hAnsi="宋体" w:cs="宋体"/>
          <w:bCs/>
          <w:highlight w:val="none"/>
        </w:rPr>
      </w:pPr>
      <w:bookmarkStart w:id="284" w:name="_Toc27260"/>
      <w:bookmarkStart w:id="285" w:name="_Toc7612"/>
      <w:bookmarkStart w:id="286" w:name="_Toc10113"/>
      <w:bookmarkStart w:id="287" w:name="_Toc6067"/>
      <w:bookmarkStart w:id="288" w:name="_Toc28561"/>
      <w:r>
        <w:rPr>
          <w:rFonts w:hint="eastAsia" w:ascii="宋体" w:hAnsi="宋体" w:cs="宋体"/>
          <w:bCs/>
          <w:highlight w:val="none"/>
        </w:rPr>
        <w:t>3.6.4凡超出招标文件规定的或给发包人带来未曾要求的利益的变化、偏差或其他因素在评标时不予考虑。</w:t>
      </w:r>
      <w:bookmarkEnd w:id="284"/>
      <w:bookmarkEnd w:id="285"/>
      <w:bookmarkEnd w:id="286"/>
      <w:bookmarkEnd w:id="287"/>
      <w:bookmarkEnd w:id="288"/>
    </w:p>
    <w:p>
      <w:pPr>
        <w:overflowPunct w:val="0"/>
        <w:spacing w:before="156" w:beforeLines="50" w:after="156" w:afterLines="50" w:line="360" w:lineRule="auto"/>
        <w:ind w:firstLine="422" w:firstLineChars="200"/>
        <w:outlineLvl w:val="0"/>
        <w:rPr>
          <w:rFonts w:hint="eastAsia" w:ascii="宋体" w:hAnsi="宋体" w:cs="宋体"/>
          <w:b/>
          <w:highlight w:val="none"/>
        </w:rPr>
      </w:pPr>
      <w:bookmarkStart w:id="289" w:name="_Toc8299"/>
      <w:bookmarkStart w:id="290" w:name="_Toc31928"/>
      <w:bookmarkStart w:id="291" w:name="_Toc11681"/>
      <w:bookmarkStart w:id="292" w:name="_Toc19649"/>
      <w:bookmarkStart w:id="293" w:name="_Toc5994"/>
      <w:r>
        <w:rPr>
          <w:rFonts w:hint="eastAsia" w:ascii="宋体" w:hAnsi="宋体" w:cs="宋体"/>
          <w:b/>
          <w:highlight w:val="none"/>
        </w:rPr>
        <w:t>3.7不得否决投标的情形</w:t>
      </w:r>
      <w:bookmarkEnd w:id="289"/>
      <w:bookmarkEnd w:id="290"/>
      <w:bookmarkEnd w:id="291"/>
      <w:bookmarkEnd w:id="292"/>
      <w:bookmarkEnd w:id="293"/>
    </w:p>
    <w:p>
      <w:pPr>
        <w:overflowPunct w:val="0"/>
        <w:spacing w:before="156" w:beforeLines="50" w:after="156" w:afterLines="50" w:line="360" w:lineRule="auto"/>
        <w:ind w:firstLine="420" w:firstLineChars="200"/>
        <w:outlineLvl w:val="0"/>
        <w:rPr>
          <w:rFonts w:hint="eastAsia" w:ascii="宋体" w:hAnsi="宋体" w:cs="宋体"/>
          <w:bCs/>
          <w:highlight w:val="none"/>
        </w:rPr>
      </w:pPr>
      <w:bookmarkStart w:id="294" w:name="_Toc13639"/>
      <w:bookmarkStart w:id="295" w:name="_Toc5498"/>
      <w:bookmarkStart w:id="296" w:name="_Toc4622"/>
      <w:bookmarkStart w:id="297" w:name="_Toc31186"/>
      <w:bookmarkStart w:id="298" w:name="_Toc9695"/>
      <w:r>
        <w:rPr>
          <w:rFonts w:hint="eastAsia" w:ascii="宋体" w:hAnsi="宋体" w:cs="宋体"/>
          <w:bCs/>
          <w:highlight w:val="none"/>
        </w:rPr>
        <w:t>投标文件存在第二章“投标人须知”第1.12.3项所列情形的,均视为细微偏差,评标委员会不得否决投标人的投标,应按照第二章“投标人须知”第1.12.4项规定的原则处理。</w:t>
      </w:r>
      <w:bookmarkEnd w:id="294"/>
      <w:bookmarkEnd w:id="295"/>
      <w:bookmarkEnd w:id="296"/>
      <w:bookmarkEnd w:id="297"/>
      <w:bookmarkEnd w:id="298"/>
    </w:p>
    <w:p>
      <w:pPr>
        <w:overflowPunct w:val="0"/>
        <w:spacing w:before="156" w:beforeLines="50" w:after="156" w:afterLines="50" w:line="360" w:lineRule="auto"/>
        <w:ind w:firstLine="422" w:firstLineChars="200"/>
        <w:outlineLvl w:val="0"/>
        <w:rPr>
          <w:rFonts w:hint="eastAsia" w:ascii="宋体" w:hAnsi="宋体" w:cs="宋体"/>
          <w:b/>
          <w:highlight w:val="none"/>
        </w:rPr>
      </w:pPr>
      <w:bookmarkStart w:id="299" w:name="_Toc24682"/>
      <w:bookmarkStart w:id="300" w:name="_Toc23236"/>
      <w:bookmarkStart w:id="301" w:name="_Toc2381"/>
      <w:bookmarkStart w:id="302" w:name="_Toc1440"/>
      <w:bookmarkStart w:id="303" w:name="_Toc5361"/>
      <w:r>
        <w:rPr>
          <w:rFonts w:hint="eastAsia" w:ascii="宋体" w:hAnsi="宋体" w:cs="宋体"/>
          <w:b/>
          <w:highlight w:val="none"/>
        </w:rPr>
        <w:t>3.8评标结果</w:t>
      </w:r>
      <w:bookmarkEnd w:id="299"/>
      <w:bookmarkEnd w:id="300"/>
      <w:bookmarkEnd w:id="301"/>
      <w:bookmarkEnd w:id="302"/>
      <w:bookmarkEnd w:id="303"/>
    </w:p>
    <w:p>
      <w:pPr>
        <w:overflowPunct w:val="0"/>
        <w:spacing w:before="156" w:beforeLines="50" w:after="156" w:afterLines="50" w:line="360" w:lineRule="auto"/>
        <w:ind w:firstLine="420" w:firstLineChars="200"/>
        <w:outlineLvl w:val="0"/>
        <w:rPr>
          <w:rFonts w:hint="eastAsia" w:ascii="宋体" w:hAnsi="宋体" w:cs="宋体"/>
          <w:bCs/>
          <w:highlight w:val="none"/>
        </w:rPr>
      </w:pPr>
      <w:bookmarkStart w:id="304" w:name="_Toc14535"/>
      <w:bookmarkStart w:id="305" w:name="_Toc2590"/>
      <w:bookmarkStart w:id="306" w:name="_Toc23337"/>
      <w:bookmarkStart w:id="307" w:name="_Toc548"/>
      <w:bookmarkStart w:id="308" w:name="_Toc13085"/>
      <w:r>
        <w:rPr>
          <w:rFonts w:hint="eastAsia" w:ascii="宋体" w:hAnsi="宋体" w:cs="宋体"/>
          <w:bCs/>
          <w:highlight w:val="none"/>
        </w:rPr>
        <w:t>3.8.1除第二章“投标人须知”前附表授权直接确定中标人外,评标委员会按照得分由高到低的顺序推荐中标候选人,并标明排序。</w:t>
      </w:r>
      <w:bookmarkEnd w:id="304"/>
      <w:bookmarkEnd w:id="305"/>
      <w:bookmarkEnd w:id="306"/>
      <w:bookmarkEnd w:id="307"/>
      <w:bookmarkEnd w:id="308"/>
    </w:p>
    <w:p>
      <w:pPr>
        <w:overflowPunct w:val="0"/>
        <w:spacing w:before="156" w:beforeLines="50" w:after="156" w:afterLines="50" w:line="360" w:lineRule="auto"/>
        <w:ind w:firstLine="420" w:firstLineChars="200"/>
        <w:outlineLvl w:val="0"/>
      </w:pPr>
      <w:bookmarkStart w:id="309" w:name="_Toc7569"/>
      <w:bookmarkStart w:id="310" w:name="_Toc13465"/>
      <w:bookmarkStart w:id="311" w:name="_Toc3896"/>
      <w:bookmarkStart w:id="312" w:name="_Toc25092"/>
      <w:bookmarkStart w:id="313" w:name="_Toc9825"/>
      <w:r>
        <w:rPr>
          <w:rFonts w:hint="eastAsia" w:ascii="宋体" w:hAnsi="宋体" w:cs="宋体"/>
          <w:bCs/>
          <w:highlight w:val="none"/>
        </w:rPr>
        <w:t>3.8.2评标委员会完成评标后，应向招标人提交书面评</w:t>
      </w:r>
      <w:bookmarkStart w:id="314" w:name="_GoBack"/>
      <w:bookmarkEnd w:id="314"/>
      <w:r>
        <w:rPr>
          <w:rFonts w:hint="eastAsia" w:ascii="宋体" w:hAnsi="宋体" w:cs="宋体"/>
          <w:bCs/>
          <w:highlight w:val="none"/>
        </w:rPr>
        <w:t>标报告。</w:t>
      </w:r>
      <w:bookmarkEnd w:id="309"/>
      <w:bookmarkEnd w:id="310"/>
      <w:bookmarkEnd w:id="311"/>
      <w:bookmarkEnd w:id="312"/>
      <w:bookmarkEnd w:id="313"/>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lvl w:ilvl="0" w:tentative="0">
      <w:start w:val="1"/>
      <w:numFmt w:val="decimal"/>
      <w:suff w:val="nothing"/>
      <w:lvlText w:val="（%1）"/>
      <w:lvlJc w:val="left"/>
    </w:lvl>
  </w:abstractNum>
  <w:abstractNum w:abstractNumId="1">
    <w:nsid w:val="0000000A"/>
    <w:multiLevelType w:val="singleLevel"/>
    <w:tmpl w:val="0000000A"/>
    <w:lvl w:ilvl="0" w:tentative="0">
      <w:start w:val="2"/>
      <w:numFmt w:val="chineseCounting"/>
      <w:suff w:val="nothing"/>
      <w:lvlText w:val="%1、"/>
      <w:lvlJc w:val="left"/>
      <w:rPr>
        <w:rFonts w:hint="eastAsia"/>
      </w:rPr>
    </w:lvl>
  </w:abstractNum>
  <w:abstractNum w:abstractNumId="2">
    <w:nsid w:val="00000013"/>
    <w:multiLevelType w:val="singleLevel"/>
    <w:tmpl w:val="00000013"/>
    <w:lvl w:ilvl="0" w:tentative="0">
      <w:start w:val="4"/>
      <w:numFmt w:val="decimal"/>
      <w:suff w:val="nothing"/>
      <w:lvlText w:val="%1、"/>
      <w:lvlJc w:val="left"/>
    </w:lvl>
  </w:abstractNum>
  <w:abstractNum w:abstractNumId="3">
    <w:nsid w:val="00000014"/>
    <w:multiLevelType w:val="singleLevel"/>
    <w:tmpl w:val="00000014"/>
    <w:lvl w:ilvl="0" w:tentative="0">
      <w:start w:val="1"/>
      <w:numFmt w:val="decimal"/>
      <w:suff w:val="nothing"/>
      <w:lvlText w:val="%1、"/>
      <w:lvlJc w:val="left"/>
    </w:lvl>
  </w:abstractNum>
  <w:abstractNum w:abstractNumId="4">
    <w:nsid w:val="00000016"/>
    <w:multiLevelType w:val="singleLevel"/>
    <w:tmpl w:val="00000016"/>
    <w:lvl w:ilvl="0" w:tentative="0">
      <w:start w:val="4"/>
      <w:numFmt w:val="decimal"/>
      <w:suff w:val="nothing"/>
      <w:lvlText w:val="（%1）"/>
      <w:lvlJc w:val="left"/>
    </w:lvl>
  </w:abstractNum>
  <w:abstractNum w:abstractNumId="5">
    <w:nsid w:val="0000001D"/>
    <w:multiLevelType w:val="singleLevel"/>
    <w:tmpl w:val="0000001D"/>
    <w:lvl w:ilvl="0" w:tentative="0">
      <w:start w:val="1"/>
      <w:numFmt w:val="decimal"/>
      <w:suff w:val="nothing"/>
      <w:lvlText w:val="（%1）"/>
      <w:lvlJc w:val="left"/>
    </w:lvl>
  </w:abstractNum>
  <w:abstractNum w:abstractNumId="6">
    <w:nsid w:val="0000001E"/>
    <w:multiLevelType w:val="singleLevel"/>
    <w:tmpl w:val="0000001E"/>
    <w:lvl w:ilvl="0" w:tentative="0">
      <w:start w:val="1"/>
      <w:numFmt w:val="lowerLetter"/>
      <w:suff w:val="nothing"/>
      <w:lvlText w:val="%1、"/>
      <w:lvlJc w:val="left"/>
    </w:lvl>
  </w:abstractNum>
  <w:abstractNum w:abstractNumId="7">
    <w:nsid w:val="00000020"/>
    <w:multiLevelType w:val="singleLevel"/>
    <w:tmpl w:val="00000020"/>
    <w:lvl w:ilvl="0" w:tentative="0">
      <w:start w:val="1"/>
      <w:numFmt w:val="lowerLetter"/>
      <w:suff w:val="nothing"/>
      <w:lvlText w:val="%1."/>
      <w:lvlJc w:val="left"/>
    </w:lvl>
  </w:abstractNum>
  <w:abstractNum w:abstractNumId="8">
    <w:nsid w:val="00000022"/>
    <w:multiLevelType w:val="singleLevel"/>
    <w:tmpl w:val="00000022"/>
    <w:lvl w:ilvl="0" w:tentative="0">
      <w:start w:val="1"/>
      <w:numFmt w:val="decimal"/>
      <w:suff w:val="nothing"/>
      <w:lvlText w:val="(%1)"/>
      <w:lvlJc w:val="left"/>
    </w:lvl>
  </w:abstractNum>
  <w:abstractNum w:abstractNumId="9">
    <w:nsid w:val="00000024"/>
    <w:multiLevelType w:val="singleLevel"/>
    <w:tmpl w:val="00000024"/>
    <w:lvl w:ilvl="0" w:tentative="0">
      <w:start w:val="1"/>
      <w:numFmt w:val="lowerLetter"/>
      <w:suff w:val="nothing"/>
      <w:lvlText w:val="%1、"/>
      <w:lvlJc w:val="left"/>
    </w:lvl>
  </w:abstractNum>
  <w:abstractNum w:abstractNumId="10">
    <w:nsid w:val="00000025"/>
    <w:multiLevelType w:val="singleLevel"/>
    <w:tmpl w:val="00000025"/>
    <w:lvl w:ilvl="0" w:tentative="0">
      <w:start w:val="1"/>
      <w:numFmt w:val="lowerLetter"/>
      <w:suff w:val="nothing"/>
      <w:lvlText w:val="%1."/>
      <w:lvlJc w:val="left"/>
    </w:lvl>
  </w:abstractNum>
  <w:abstractNum w:abstractNumId="11">
    <w:nsid w:val="0000002A"/>
    <w:multiLevelType w:val="singleLevel"/>
    <w:tmpl w:val="0000002A"/>
    <w:lvl w:ilvl="0" w:tentative="0">
      <w:start w:val="1"/>
      <w:numFmt w:val="decimal"/>
      <w:suff w:val="space"/>
      <w:lvlText w:val="%1、"/>
      <w:lvlJc w:val="left"/>
    </w:lvl>
  </w:abstractNum>
  <w:abstractNum w:abstractNumId="12">
    <w:nsid w:val="0000002B"/>
    <w:multiLevelType w:val="singleLevel"/>
    <w:tmpl w:val="0000002B"/>
    <w:lvl w:ilvl="0" w:tentative="0">
      <w:start w:val="2"/>
      <w:numFmt w:val="decimal"/>
      <w:suff w:val="nothing"/>
      <w:lvlText w:val="%1."/>
      <w:lvlJc w:val="left"/>
    </w:lvl>
  </w:abstractNum>
  <w:abstractNum w:abstractNumId="13">
    <w:nsid w:val="0000002C"/>
    <w:multiLevelType w:val="singleLevel"/>
    <w:tmpl w:val="0000002C"/>
    <w:lvl w:ilvl="0" w:tentative="0">
      <w:start w:val="2"/>
      <w:numFmt w:val="decimal"/>
      <w:suff w:val="nothing"/>
      <w:lvlText w:val="（%1）"/>
      <w:lvlJc w:val="left"/>
    </w:lvl>
  </w:abstractNum>
  <w:abstractNum w:abstractNumId="14">
    <w:nsid w:val="00000030"/>
    <w:multiLevelType w:val="singleLevel"/>
    <w:tmpl w:val="00000030"/>
    <w:lvl w:ilvl="0" w:tentative="0">
      <w:start w:val="1"/>
      <w:numFmt w:val="lowerLetter"/>
      <w:suff w:val="nothing"/>
      <w:lvlText w:val="%1."/>
      <w:lvlJc w:val="left"/>
    </w:lvl>
  </w:abstractNum>
  <w:abstractNum w:abstractNumId="15">
    <w:nsid w:val="00000033"/>
    <w:multiLevelType w:val="singleLevel"/>
    <w:tmpl w:val="00000033"/>
    <w:lvl w:ilvl="0" w:tentative="0">
      <w:start w:val="1"/>
      <w:numFmt w:val="decimal"/>
      <w:suff w:val="nothing"/>
      <w:lvlText w:val="%1、"/>
      <w:lvlJc w:val="left"/>
    </w:lvl>
  </w:abstractNum>
  <w:abstractNum w:abstractNumId="16">
    <w:nsid w:val="00000034"/>
    <w:multiLevelType w:val="singleLevel"/>
    <w:tmpl w:val="00000034"/>
    <w:lvl w:ilvl="0" w:tentative="0">
      <w:start w:val="1"/>
      <w:numFmt w:val="decimal"/>
      <w:suff w:val="nothing"/>
      <w:lvlText w:val="（%1）"/>
      <w:lvlJc w:val="left"/>
    </w:lvl>
  </w:abstractNum>
  <w:abstractNum w:abstractNumId="17">
    <w:nsid w:val="00000035"/>
    <w:multiLevelType w:val="singleLevel"/>
    <w:tmpl w:val="00000035"/>
    <w:lvl w:ilvl="0" w:tentative="0">
      <w:start w:val="3"/>
      <w:numFmt w:val="decimal"/>
      <w:suff w:val="nothing"/>
      <w:lvlText w:val="（%1）"/>
      <w:lvlJc w:val="left"/>
    </w:lvl>
  </w:abstractNum>
  <w:abstractNum w:abstractNumId="18">
    <w:nsid w:val="00000037"/>
    <w:multiLevelType w:val="singleLevel"/>
    <w:tmpl w:val="00000037"/>
    <w:lvl w:ilvl="0" w:tentative="0">
      <w:start w:val="1"/>
      <w:numFmt w:val="decimal"/>
      <w:suff w:val="nothing"/>
      <w:lvlText w:val="（%1）"/>
      <w:lvlJc w:val="left"/>
    </w:lvl>
  </w:abstractNum>
  <w:abstractNum w:abstractNumId="19">
    <w:nsid w:val="00000038"/>
    <w:multiLevelType w:val="singleLevel"/>
    <w:tmpl w:val="00000038"/>
    <w:lvl w:ilvl="0" w:tentative="0">
      <w:start w:val="1"/>
      <w:numFmt w:val="decimal"/>
      <w:suff w:val="nothing"/>
      <w:lvlText w:val="(%1)"/>
      <w:lvlJc w:val="left"/>
    </w:lvl>
  </w:abstractNum>
  <w:abstractNum w:abstractNumId="20">
    <w:nsid w:val="00000039"/>
    <w:multiLevelType w:val="singleLevel"/>
    <w:tmpl w:val="00000039"/>
    <w:lvl w:ilvl="0" w:tentative="0">
      <w:start w:val="1"/>
      <w:numFmt w:val="lowerLetter"/>
      <w:suff w:val="nothing"/>
      <w:lvlText w:val="%1."/>
      <w:lvlJc w:val="left"/>
    </w:lvl>
  </w:abstractNum>
  <w:abstractNum w:abstractNumId="21">
    <w:nsid w:val="0000003C"/>
    <w:multiLevelType w:val="singleLevel"/>
    <w:tmpl w:val="0000003C"/>
    <w:lvl w:ilvl="0" w:tentative="0">
      <w:start w:val="2"/>
      <w:numFmt w:val="decimal"/>
      <w:suff w:val="space"/>
      <w:lvlText w:val="(%1)"/>
      <w:lvlJc w:val="left"/>
    </w:lvl>
  </w:abstractNum>
  <w:abstractNum w:abstractNumId="22">
    <w:nsid w:val="0000003D"/>
    <w:multiLevelType w:val="singleLevel"/>
    <w:tmpl w:val="0000003D"/>
    <w:lvl w:ilvl="0" w:tentative="0">
      <w:start w:val="2"/>
      <w:numFmt w:val="decimal"/>
      <w:suff w:val="nothing"/>
      <w:lvlText w:val="（%1）"/>
      <w:lvlJc w:val="left"/>
    </w:lvl>
  </w:abstractNum>
  <w:abstractNum w:abstractNumId="23">
    <w:nsid w:val="00000041"/>
    <w:multiLevelType w:val="singleLevel"/>
    <w:tmpl w:val="00000041"/>
    <w:lvl w:ilvl="0" w:tentative="0">
      <w:start w:val="1"/>
      <w:numFmt w:val="decimal"/>
      <w:suff w:val="nothing"/>
      <w:lvlText w:val="（%1）"/>
      <w:lvlJc w:val="left"/>
    </w:lvl>
  </w:abstractNum>
  <w:abstractNum w:abstractNumId="24">
    <w:nsid w:val="00000043"/>
    <w:multiLevelType w:val="singleLevel"/>
    <w:tmpl w:val="00000043"/>
    <w:lvl w:ilvl="0" w:tentative="0">
      <w:start w:val="14"/>
      <w:numFmt w:val="decimal"/>
      <w:suff w:val="nothing"/>
      <w:lvlText w:val="(%1)"/>
      <w:lvlJc w:val="left"/>
    </w:lvl>
  </w:abstractNum>
  <w:abstractNum w:abstractNumId="25">
    <w:nsid w:val="00000045"/>
    <w:multiLevelType w:val="singleLevel"/>
    <w:tmpl w:val="00000045"/>
    <w:lvl w:ilvl="0" w:tentative="0">
      <w:start w:val="1"/>
      <w:numFmt w:val="decimal"/>
      <w:suff w:val="nothing"/>
      <w:lvlText w:val="（%1）"/>
      <w:lvlJc w:val="left"/>
    </w:lvl>
  </w:abstractNum>
  <w:abstractNum w:abstractNumId="26">
    <w:nsid w:val="00000047"/>
    <w:multiLevelType w:val="singleLevel"/>
    <w:tmpl w:val="00000047"/>
    <w:lvl w:ilvl="0" w:tentative="0">
      <w:start w:val="1"/>
      <w:numFmt w:val="chineseCounting"/>
      <w:suff w:val="nothing"/>
      <w:lvlText w:val="%1、"/>
      <w:lvlJc w:val="left"/>
    </w:lvl>
  </w:abstractNum>
  <w:abstractNum w:abstractNumId="27">
    <w:nsid w:val="089AA74D"/>
    <w:multiLevelType w:val="singleLevel"/>
    <w:tmpl w:val="089AA74D"/>
    <w:lvl w:ilvl="0" w:tentative="0">
      <w:start w:val="1"/>
      <w:numFmt w:val="decimal"/>
      <w:suff w:val="nothing"/>
      <w:lvlText w:val="%1、"/>
      <w:lvlJc w:val="left"/>
    </w:lvl>
  </w:abstractNum>
  <w:abstractNum w:abstractNumId="28">
    <w:nsid w:val="5B7B6B69"/>
    <w:multiLevelType w:val="singleLevel"/>
    <w:tmpl w:val="5B7B6B69"/>
    <w:lvl w:ilvl="0" w:tentative="0">
      <w:start w:val="4"/>
      <w:numFmt w:val="decimal"/>
      <w:suff w:val="nothing"/>
      <w:lvlText w:val="%1."/>
      <w:lvlJc w:val="left"/>
    </w:lvl>
  </w:abstractNum>
  <w:abstractNum w:abstractNumId="29">
    <w:nsid w:val="5B7B6B7F"/>
    <w:multiLevelType w:val="singleLevel"/>
    <w:tmpl w:val="5B7B6B7F"/>
    <w:lvl w:ilvl="0" w:tentative="0">
      <w:start w:val="2"/>
      <w:numFmt w:val="decimal"/>
      <w:suff w:val="nothing"/>
      <w:lvlText w:val="%1."/>
      <w:lvlJc w:val="left"/>
    </w:lvl>
  </w:abstractNum>
  <w:num w:numId="1">
    <w:abstractNumId w:val="27"/>
  </w:num>
  <w:num w:numId="2">
    <w:abstractNumId w:val="15"/>
  </w:num>
  <w:num w:numId="3">
    <w:abstractNumId w:val="3"/>
  </w:num>
  <w:num w:numId="4">
    <w:abstractNumId w:val="2"/>
  </w:num>
  <w:num w:numId="5">
    <w:abstractNumId w:val="12"/>
  </w:num>
  <w:num w:numId="6">
    <w:abstractNumId w:val="26"/>
  </w:num>
  <w:num w:numId="7">
    <w:abstractNumId w:val="1"/>
  </w:num>
  <w:num w:numId="8">
    <w:abstractNumId w:val="29"/>
  </w:num>
  <w:num w:numId="9">
    <w:abstractNumId w:val="28"/>
  </w:num>
  <w:num w:numId="10">
    <w:abstractNumId w:val="23"/>
  </w:num>
  <w:num w:numId="11">
    <w:abstractNumId w:val="24"/>
  </w:num>
  <w:num w:numId="12">
    <w:abstractNumId w:val="21"/>
  </w:num>
  <w:num w:numId="13">
    <w:abstractNumId w:val="19"/>
  </w:num>
  <w:num w:numId="14">
    <w:abstractNumId w:val="11"/>
  </w:num>
  <w:num w:numId="15">
    <w:abstractNumId w:val="16"/>
  </w:num>
  <w:num w:numId="16">
    <w:abstractNumId w:val="5"/>
  </w:num>
  <w:num w:numId="17">
    <w:abstractNumId w:val="6"/>
  </w:num>
  <w:num w:numId="18">
    <w:abstractNumId w:val="22"/>
  </w:num>
  <w:num w:numId="19">
    <w:abstractNumId w:val="9"/>
  </w:num>
  <w:num w:numId="20">
    <w:abstractNumId w:val="25"/>
  </w:num>
  <w:num w:numId="21">
    <w:abstractNumId w:val="0"/>
  </w:num>
  <w:num w:numId="22">
    <w:abstractNumId w:val="8"/>
  </w:num>
  <w:num w:numId="23">
    <w:abstractNumId w:val="18"/>
  </w:num>
  <w:num w:numId="24">
    <w:abstractNumId w:val="14"/>
  </w:num>
  <w:num w:numId="25">
    <w:abstractNumId w:val="13"/>
  </w:num>
  <w:num w:numId="26">
    <w:abstractNumId w:val="10"/>
  </w:num>
  <w:num w:numId="27">
    <w:abstractNumId w:val="17"/>
  </w:num>
  <w:num w:numId="28">
    <w:abstractNumId w:val="20"/>
  </w:num>
  <w:num w:numId="29">
    <w:abstractNumId w:val="4"/>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F869C2"/>
    <w:rsid w:val="2F997124"/>
    <w:rsid w:val="639A2734"/>
    <w:rsid w:val="6D535020"/>
    <w:rsid w:val="77F86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7"/>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Title"/>
    <w:basedOn w:val="1"/>
    <w:qFormat/>
    <w:uiPriority w:val="0"/>
    <w:pPr>
      <w:adjustRightInd w:val="0"/>
      <w:spacing w:before="240" w:beforeLines="0" w:after="60" w:afterLines="0" w:line="420" w:lineRule="atLeast"/>
      <w:jc w:val="center"/>
      <w:textAlignment w:val="baseline"/>
      <w:outlineLvl w:val="0"/>
    </w:pPr>
    <w:rPr>
      <w:rFonts w:ascii="Arial" w:hAnsi="Arial"/>
      <w:b/>
      <w:kern w:val="0"/>
      <w:sz w:val="32"/>
      <w:szCs w:val="20"/>
    </w:rPr>
  </w:style>
  <w:style w:type="paragraph" w:customStyle="1" w:styleId="6">
    <w:name w:val="List Paragraph"/>
    <w:basedOn w:val="1"/>
    <w:qFormat/>
    <w:uiPriority w:val="0"/>
    <w:pPr>
      <w:ind w:firstLine="420" w:firstLineChars="200"/>
    </w:pPr>
    <w:rPr>
      <w:rFonts w:ascii="Calibri" w:hAnsi="Calibri"/>
      <w:szCs w:val="22"/>
    </w:rPr>
  </w:style>
  <w:style w:type="character" w:customStyle="1" w:styleId="7">
    <w:name w:val="标题 2 Char Char"/>
    <w:link w:val="2"/>
    <w:qFormat/>
    <w:uiPriority w:val="0"/>
    <w:rPr>
      <w:rFonts w:ascii="Arial" w:hAnsi="Arial" w:eastAsia="黑体"/>
      <w:b/>
      <w:sz w:val="32"/>
    </w:rPr>
  </w:style>
  <w:style w:type="paragraph" w:customStyle="1" w:styleId="8">
    <w:name w:val="正文缩进1"/>
    <w:basedOn w:val="1"/>
    <w:uiPriority w:val="0"/>
    <w:pPr>
      <w:spacing w:before="0" w:beforeLines="0" w:beforeAutospacing="0"/>
      <w:ind w:firstLine="420" w:firstLineChars="200"/>
    </w:pPr>
    <w:rPr>
      <w:rFonts w:ascii="Calibri" w:hAnsi="Calibri" w:eastAsia="宋体" w:cs="黑体"/>
      <w:szCs w:val="24"/>
    </w:rPr>
  </w:style>
  <w:style w:type="paragraph" w:customStyle="1" w:styleId="9">
    <w:name w:val="Body Text Indent 3"/>
    <w:basedOn w:val="1"/>
    <w:uiPriority w:val="0"/>
    <w:pPr>
      <w:spacing w:after="120" w:afterLines="0"/>
      <w:ind w:left="420" w:leftChars="200"/>
    </w:pPr>
    <w:rPr>
      <w:sz w:val="16"/>
      <w:szCs w:val="16"/>
    </w:rPr>
  </w:style>
  <w:style w:type="paragraph" w:customStyle="1" w:styleId="10">
    <w:name w:val="Plain Text"/>
    <w:basedOn w:val="1"/>
    <w:uiPriority w:val="0"/>
    <w:rPr>
      <w:rFonts w:ascii="宋体" w:hAnsi="Courier New"/>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x\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7</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2018-10-08T12:01:00Z</dcterms:created>
  <dc:creator>养护工程部</dc:creator>
  <cp:lastModifiedBy>养护工程部</cp:lastModifiedBy>
  <dcterms:modified xsi:type="dcterms:W3CDTF">2018-10-09T08:29:49Z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