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Lines w:val="0"/>
        <w:wordWrap w:val="0"/>
        <w:spacing w:line="480" w:lineRule="exact"/>
        <w:rPr>
          <w:rFonts w:hint="eastAsia"/>
          <w:color w:val="auto"/>
          <w:highlight w:val="none"/>
        </w:rPr>
      </w:pPr>
      <w:bookmarkStart w:id="30" w:name="_GoBack"/>
      <w:bookmarkStart w:id="0" w:name="_Toc136229090"/>
      <w:bookmarkStart w:id="1" w:name="_Toc7547"/>
      <w:bookmarkStart w:id="2" w:name="_Toc18063"/>
      <w:bookmarkStart w:id="3" w:name="_Toc15175"/>
      <w:bookmarkStart w:id="4" w:name="_Toc16196"/>
      <w:bookmarkStart w:id="5" w:name="_Toc535891855"/>
      <w:bookmarkStart w:id="6" w:name="_Toc535815711"/>
      <w:bookmarkStart w:id="7" w:name="_Toc535832555"/>
      <w:bookmarkStart w:id="8" w:name="_Toc120411834"/>
      <w:bookmarkStart w:id="9" w:name="_Toc535891688"/>
      <w:bookmarkStart w:id="10" w:name="_Toc535814466"/>
      <w:r>
        <w:rPr>
          <w:rFonts w:hint="eastAsia"/>
          <w:color w:val="auto"/>
          <w:highlight w:val="none"/>
        </w:rPr>
        <w:t xml:space="preserve">第三章  </w:t>
      </w:r>
      <w:bookmarkEnd w:id="0"/>
      <w:r>
        <w:rPr>
          <w:rFonts w:hint="eastAsia"/>
          <w:color w:val="auto"/>
          <w:highlight w:val="none"/>
        </w:rPr>
        <w:t>采购需求</w:t>
      </w:r>
      <w:bookmarkEnd w:id="1"/>
      <w:bookmarkEnd w:id="2"/>
      <w:bookmarkEnd w:id="3"/>
      <w:bookmarkEnd w:id="4"/>
    </w:p>
    <w:bookmarkEnd w:id="5"/>
    <w:bookmarkEnd w:id="6"/>
    <w:bookmarkEnd w:id="7"/>
    <w:bookmarkEnd w:id="8"/>
    <w:bookmarkEnd w:id="9"/>
    <w:bookmarkEnd w:id="10"/>
    <w:p>
      <w:pPr>
        <w:pStyle w:val="4"/>
        <w:numPr>
          <w:ilvl w:val="0"/>
          <w:numId w:val="1"/>
        </w:numPr>
        <w:jc w:val="left"/>
        <w:rPr>
          <w:rStyle w:val="7"/>
          <w:rFonts w:hint="eastAsia"/>
          <w:b/>
          <w:bCs/>
          <w:color w:val="auto"/>
          <w:kern w:val="44"/>
          <w:szCs w:val="22"/>
          <w:highlight w:val="none"/>
        </w:rPr>
      </w:pPr>
      <w:bookmarkStart w:id="11" w:name="_Toc15208"/>
      <w:bookmarkStart w:id="12" w:name="_Toc2754"/>
      <w:bookmarkStart w:id="13" w:name="_Toc32248"/>
      <w:bookmarkStart w:id="14" w:name="_Toc164416483"/>
      <w:bookmarkStart w:id="15" w:name="第三部分"/>
      <w:r>
        <w:rPr>
          <w:rStyle w:val="7"/>
          <w:rFonts w:hint="eastAsia"/>
          <w:b/>
          <w:bCs/>
          <w:color w:val="auto"/>
          <w:kern w:val="44"/>
          <w:szCs w:val="22"/>
          <w:highlight w:val="none"/>
        </w:rPr>
        <w:t>项目概况</w:t>
      </w:r>
      <w:bookmarkEnd w:id="11"/>
      <w:bookmarkEnd w:id="12"/>
      <w:bookmarkEnd w:id="13"/>
    </w:p>
    <w:bookmarkEnd w:id="14"/>
    <w:bookmarkEnd w:id="15"/>
    <w:p>
      <w:pPr>
        <w:tabs>
          <w:tab w:val="left" w:pos="860"/>
        </w:tabs>
        <w:spacing w:line="480" w:lineRule="exact"/>
        <w:ind w:firstLine="480" w:firstLineChars="200"/>
        <w:jc w:val="left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（一）项目编号：WHKD-ZFCG-20200616</w:t>
      </w:r>
    </w:p>
    <w:p>
      <w:pPr>
        <w:tabs>
          <w:tab w:val="left" w:pos="860"/>
        </w:tabs>
        <w:spacing w:line="480" w:lineRule="exact"/>
        <w:ind w:firstLine="480" w:firstLineChars="200"/>
        <w:jc w:val="left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（二）项目名称：老旧小区综合改造工程一期结构可靠性鉴定费及安全检测费</w:t>
      </w:r>
    </w:p>
    <w:p>
      <w:pPr>
        <w:tabs>
          <w:tab w:val="left" w:pos="860"/>
        </w:tabs>
        <w:spacing w:line="480" w:lineRule="exact"/>
        <w:ind w:firstLine="480" w:firstLineChars="200"/>
        <w:jc w:val="left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（三）预算金额：312.43万元；最高限价：312.43万元</w:t>
      </w:r>
    </w:p>
    <w:p>
      <w:pPr>
        <w:tabs>
          <w:tab w:val="left" w:pos="860"/>
        </w:tabs>
        <w:spacing w:line="480" w:lineRule="exact"/>
        <w:ind w:firstLine="480" w:firstLineChars="200"/>
        <w:jc w:val="left"/>
        <w:rPr>
          <w:rFonts w:hint="eastAsia" w:ascii="宋体" w:hAnsi="宋体" w:eastAsia="宋体" w:cs="Arial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（四）</w:t>
      </w:r>
      <w:r>
        <w:rPr>
          <w:rFonts w:hint="eastAsia" w:ascii="宋体" w:hAnsi="宋体" w:cs="Arial"/>
          <w:color w:val="auto"/>
          <w:kern w:val="0"/>
          <w:sz w:val="24"/>
          <w:highlight w:val="none"/>
        </w:rPr>
        <w:t>投入项目人员：不少于10人</w:t>
      </w:r>
    </w:p>
    <w:p>
      <w:pPr>
        <w:tabs>
          <w:tab w:val="left" w:pos="860"/>
        </w:tabs>
        <w:spacing w:line="480" w:lineRule="exact"/>
        <w:ind w:firstLine="480" w:firstLineChars="200"/>
        <w:jc w:val="left"/>
        <w:rPr>
          <w:rFonts w:ascii="宋体" w:hAnsi="宋体" w:cs="Arial"/>
          <w:color w:val="auto"/>
          <w:kern w:val="0"/>
          <w:sz w:val="24"/>
          <w:highlight w:val="none"/>
          <w:lang w:val="zh-CN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（五）服务期：</w:t>
      </w:r>
      <w:r>
        <w:rPr>
          <w:rFonts w:hint="eastAsia" w:ascii="宋体" w:hAnsi="宋体" w:cs="Arial"/>
          <w:color w:val="auto"/>
          <w:kern w:val="0"/>
          <w:sz w:val="24"/>
          <w:highlight w:val="none"/>
          <w:lang w:val="zh-CN"/>
        </w:rPr>
        <w:t>合同签订后10个日历天</w:t>
      </w:r>
    </w:p>
    <w:p>
      <w:pPr>
        <w:tabs>
          <w:tab w:val="left" w:pos="860"/>
        </w:tabs>
        <w:spacing w:line="480" w:lineRule="exact"/>
        <w:ind w:firstLine="480" w:firstLineChars="200"/>
        <w:jc w:val="left"/>
        <w:rPr>
          <w:rFonts w:hint="eastAsia" w:ascii="宋体" w:hAnsi="宋体" w:cs="Arial"/>
          <w:color w:val="auto"/>
          <w:kern w:val="0"/>
          <w:sz w:val="24"/>
          <w:highlight w:val="none"/>
          <w:lang w:val="zh-CN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  <w:lang w:val="zh-CN"/>
        </w:rPr>
        <w:t>（</w:t>
      </w:r>
      <w:r>
        <w:rPr>
          <w:rFonts w:hint="eastAsia" w:ascii="宋体" w:hAnsi="宋体" w:cs="Arial"/>
          <w:color w:val="auto"/>
          <w:kern w:val="0"/>
          <w:sz w:val="24"/>
          <w:highlight w:val="none"/>
        </w:rPr>
        <w:t>六</w:t>
      </w:r>
      <w:r>
        <w:rPr>
          <w:rFonts w:hint="eastAsia" w:ascii="宋体" w:hAnsi="宋体" w:cs="Arial"/>
          <w:color w:val="auto"/>
          <w:kern w:val="0"/>
          <w:sz w:val="24"/>
          <w:highlight w:val="none"/>
          <w:lang w:val="zh-CN"/>
        </w:rPr>
        <w:t>）质量要求：按国家标准执行</w:t>
      </w:r>
    </w:p>
    <w:p>
      <w:pPr>
        <w:tabs>
          <w:tab w:val="left" w:pos="860"/>
        </w:tabs>
        <w:spacing w:line="480" w:lineRule="exact"/>
        <w:ind w:firstLine="480" w:firstLineChars="200"/>
        <w:jc w:val="left"/>
        <w:rPr>
          <w:rFonts w:hint="default" w:ascii="宋体" w:hAnsi="宋体" w:eastAsia="宋体" w:cs="Arial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  <w:lang w:val="zh-CN"/>
        </w:rPr>
        <w:t>（</w:t>
      </w:r>
      <w:r>
        <w:rPr>
          <w:rFonts w:hint="eastAsia" w:ascii="宋体" w:hAnsi="宋体" w:cs="Arial"/>
          <w:color w:val="auto"/>
          <w:kern w:val="0"/>
          <w:sz w:val="24"/>
          <w:highlight w:val="none"/>
        </w:rPr>
        <w:t>七</w:t>
      </w:r>
      <w:r>
        <w:rPr>
          <w:rFonts w:hint="eastAsia" w:ascii="宋体" w:hAnsi="宋体" w:cs="Arial"/>
          <w:color w:val="auto"/>
          <w:kern w:val="0"/>
          <w:sz w:val="24"/>
          <w:highlight w:val="none"/>
          <w:lang w:val="zh-CN"/>
        </w:rPr>
        <w:t>）</w:t>
      </w:r>
      <w:r>
        <w:rPr>
          <w:rFonts w:hint="eastAsia" w:ascii="宋体" w:hAnsi="宋体" w:cs="Arial"/>
          <w:color w:val="auto"/>
          <w:kern w:val="0"/>
          <w:sz w:val="24"/>
          <w:highlight w:val="none"/>
          <w:lang w:val="zh-CN"/>
        </w:rPr>
        <w:t>付款方式：</w:t>
      </w:r>
      <w:r>
        <w:rPr>
          <w:rFonts w:hint="eastAsia" w:ascii="宋体" w:hAnsi="宋体" w:cs="Arial"/>
          <w:color w:val="auto"/>
          <w:kern w:val="0"/>
          <w:sz w:val="24"/>
          <w:highlight w:val="none"/>
          <w:lang w:val="en-US" w:eastAsia="zh-CN"/>
        </w:rPr>
        <w:t>签订合同时约定</w:t>
      </w:r>
    </w:p>
    <w:p>
      <w:pPr>
        <w:pStyle w:val="4"/>
        <w:keepLines w:val="0"/>
        <w:wordWrap w:val="0"/>
        <w:spacing w:line="480" w:lineRule="exact"/>
        <w:jc w:val="both"/>
        <w:rPr>
          <w:rStyle w:val="7"/>
          <w:rFonts w:hint="eastAsia"/>
          <w:b/>
          <w:bCs/>
          <w:color w:val="auto"/>
          <w:highlight w:val="none"/>
        </w:rPr>
      </w:pPr>
      <w:bookmarkStart w:id="16" w:name="_Toc11278"/>
      <w:bookmarkStart w:id="17" w:name="_Toc17085"/>
      <w:bookmarkStart w:id="18" w:name="_Toc29779"/>
      <w:r>
        <w:rPr>
          <w:color w:val="auto"/>
          <w:highlight w:val="non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3141980</wp:posOffset>
            </wp:positionH>
            <wp:positionV relativeFrom="paragraph">
              <wp:posOffset>219075</wp:posOffset>
            </wp:positionV>
            <wp:extent cx="3037840" cy="3726180"/>
            <wp:effectExtent l="0" t="0" r="10160" b="7620"/>
            <wp:wrapSquare wrapText="bothSides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7"/>
          <w:rFonts w:hint="eastAsia"/>
          <w:b/>
          <w:bCs/>
          <w:color w:val="auto"/>
          <w:highlight w:val="none"/>
        </w:rPr>
        <w:t>二、建设内容及范围</w:t>
      </w:r>
      <w:bookmarkEnd w:id="16"/>
      <w:bookmarkEnd w:id="17"/>
      <w:bookmarkEnd w:id="18"/>
    </w:p>
    <w:p>
      <w:pPr>
        <w:wordWrap w:val="0"/>
        <w:spacing w:line="480" w:lineRule="exact"/>
        <w:ind w:firstLine="720" w:firstLineChars="3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bookmarkStart w:id="19" w:name="_Toc17033"/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（一）内容：拟对荣东社区进行老旧小区维修改造，包含屋面平改坡。本次对这些房屋进行检测鉴定，是为了了解社区房屋的结构现状，对结构可靠性评级，同时为后续改造设计提供技术依据。</w:t>
      </w:r>
      <w:bookmarkEnd w:id="19"/>
    </w:p>
    <w:p>
      <w:pPr>
        <w:wordWrap w:val="0"/>
        <w:spacing w:line="480" w:lineRule="exact"/>
        <w:ind w:firstLine="720" w:firstLineChars="3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bookmarkStart w:id="20" w:name="_Toc24620"/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（二）鉴定范围：本次需要鉴定的对象，为荣东社区内的共21栋房屋，其中18栋平改坡住宅建筑，3栋为车棚建筑，具体平面布置详见附图。</w:t>
      </w:r>
      <w:bookmarkEnd w:id="20"/>
    </w:p>
    <w:p>
      <w:pPr>
        <w:pStyle w:val="4"/>
        <w:keepLines w:val="0"/>
        <w:wordWrap w:val="0"/>
        <w:spacing w:line="480" w:lineRule="exact"/>
        <w:jc w:val="both"/>
        <w:rPr>
          <w:rStyle w:val="7"/>
          <w:rFonts w:hint="eastAsia"/>
          <w:b/>
          <w:bCs/>
          <w:color w:val="auto"/>
          <w:szCs w:val="22"/>
          <w:highlight w:val="none"/>
        </w:rPr>
      </w:pPr>
      <w:bookmarkStart w:id="21" w:name="_Toc9402"/>
      <w:bookmarkStart w:id="22" w:name="_Toc1046"/>
      <w:bookmarkStart w:id="23" w:name="_Toc179"/>
      <w:r>
        <w:rPr>
          <w:rStyle w:val="7"/>
          <w:rFonts w:hint="eastAsia"/>
          <w:b/>
          <w:bCs/>
          <w:color w:val="auto"/>
          <w:highlight w:val="none"/>
        </w:rPr>
        <w:t>三、</w:t>
      </w:r>
      <w:r>
        <w:rPr>
          <w:rStyle w:val="7"/>
          <w:rFonts w:hint="eastAsia"/>
          <w:b/>
          <w:bCs/>
          <w:color w:val="auto"/>
          <w:szCs w:val="22"/>
          <w:highlight w:val="none"/>
        </w:rPr>
        <w:t>鉴定现场主要工作内容</w:t>
      </w:r>
      <w:bookmarkEnd w:id="21"/>
      <w:bookmarkEnd w:id="22"/>
      <w:bookmarkEnd w:id="23"/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根据民用建筑可靠性鉴定标准（GB 50292-2015），结合本项目实际情况及该房屋现有资料情况，需要进行的主要鉴定工作如下：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（1）按资料核对结构布置，确定结构形式。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（2）调查建筑物实际使用条件，包括荷载、环境类别、灾害史。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（3）调查地基稳定性，以及地基变形在上部结构中的反应，当有必要时，进行开挖检查，检查结果与原设计图纸比对。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（4）对于砌体结构房屋，回弹法检测砖、砂浆强度各30个构件，回弹修正法抽取检测圈梁混凝土强度10个构件，测量主要承重构件截面尺寸，检测结果与原设计图纸比对。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5）对于框架结构房屋，回弹修正法抽取检测框架柱混凝土强度40个构件；回弹修正法抽取检测屋面框架梁混凝土强度6个构件；测量主要承重构件截面尺寸，局部凿开法探查框架柱钢筋8个构件，检测结果与原设计图纸比对。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（6）对建筑物整体倾斜进行观测。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（7）调查并记录建筑物损伤、缺陷。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（8）围护结构的现状检查。</w:t>
      </w:r>
    </w:p>
    <w:p>
      <w:pPr>
        <w:pStyle w:val="4"/>
        <w:keepLines w:val="0"/>
        <w:wordWrap w:val="0"/>
        <w:spacing w:line="480" w:lineRule="exact"/>
        <w:jc w:val="both"/>
        <w:rPr>
          <w:rStyle w:val="7"/>
          <w:rFonts w:hint="eastAsia"/>
          <w:b/>
          <w:bCs/>
          <w:color w:val="auto"/>
          <w:szCs w:val="22"/>
          <w:highlight w:val="none"/>
        </w:rPr>
      </w:pPr>
      <w:bookmarkStart w:id="24" w:name="_Toc29258"/>
      <w:bookmarkStart w:id="25" w:name="_Toc11905"/>
      <w:bookmarkStart w:id="26" w:name="_Toc14537"/>
      <w:r>
        <w:rPr>
          <w:rStyle w:val="7"/>
          <w:rFonts w:hint="eastAsia"/>
          <w:b/>
          <w:bCs/>
          <w:color w:val="auto"/>
          <w:szCs w:val="22"/>
          <w:highlight w:val="none"/>
        </w:rPr>
        <w:t>四、主要检测仪器设备</w:t>
      </w:r>
      <w:bookmarkEnd w:id="24"/>
      <w:bookmarkEnd w:id="25"/>
      <w:bookmarkEnd w:id="26"/>
    </w:p>
    <w:tbl>
      <w:tblPr>
        <w:tblStyle w:val="5"/>
        <w:tblpPr w:leftFromText="180" w:rightFromText="180" w:vertAnchor="text" w:horzAnchor="page" w:tblpX="1738" w:tblpY="176"/>
        <w:tblOverlap w:val="never"/>
        <w:tblW w:w="831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62"/>
        <w:gridCol w:w="73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b/>
                <w:bCs/>
                <w:color w:val="auto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highlight w:val="none"/>
              </w:rPr>
              <w:t>编号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b/>
                <w:bCs/>
                <w:color w:val="auto"/>
                <w:highlight w:val="none"/>
              </w:rPr>
            </w:pPr>
            <w:r>
              <w:rPr>
                <w:rFonts w:hAnsi="Arial"/>
                <w:b/>
                <w:bCs/>
                <w:color w:val="auto"/>
                <w:highlight w:val="none"/>
              </w:rPr>
              <w:t>仪器设备名称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color w:val="auto"/>
                <w:highlight w:val="none"/>
              </w:rPr>
            </w:pPr>
            <w:r>
              <w:rPr>
                <w:rFonts w:hAnsi="Arial"/>
                <w:color w:val="auto"/>
                <w:highlight w:val="none"/>
              </w:rPr>
              <w:t>液压式万能材料试验机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int="eastAsia"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2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Ansi="Arial"/>
                <w:color w:val="auto"/>
                <w:highlight w:val="none"/>
              </w:rPr>
              <w:t>钻芯机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spacing w:line="420" w:lineRule="exact"/>
              <w:ind w:left="11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spacing w:line="420" w:lineRule="exact"/>
              <w:ind w:left="11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混凝土回弹仪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top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int="eastAsia"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4</w:t>
            </w:r>
          </w:p>
        </w:tc>
        <w:tc>
          <w:tcPr>
            <w:tcW w:w="7357" w:type="dxa"/>
            <w:noWrap w:val="0"/>
            <w:vAlign w:val="top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全站仪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贯入式砂浆强度检测仪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int="eastAsia"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6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钢筋探测仪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int="eastAsia"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7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激光测距仪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int="eastAsia"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8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裂缝观测仪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int="eastAsia"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9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游标卡尺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10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钢卷尺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2" w:hRule="atLeast"/>
        </w:trPr>
        <w:tc>
          <w:tcPr>
            <w:tcW w:w="962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11</w:t>
            </w:r>
          </w:p>
        </w:tc>
        <w:tc>
          <w:tcPr>
            <w:tcW w:w="7357" w:type="dxa"/>
            <w:noWrap w:val="0"/>
            <w:vAlign w:val="center"/>
          </w:tcPr>
          <w:p>
            <w:pPr>
              <w:tabs>
                <w:tab w:val="left" w:pos="1532"/>
              </w:tabs>
              <w:spacing w:line="420" w:lineRule="exact"/>
              <w:ind w:left="43" w:right="32"/>
              <w:jc w:val="center"/>
              <w:rPr>
                <w:rFonts w:hAnsi="Arial"/>
                <w:color w:val="auto"/>
                <w:highlight w:val="none"/>
              </w:rPr>
            </w:pPr>
            <w:r>
              <w:rPr>
                <w:rFonts w:hint="eastAsia" w:hAnsi="Arial"/>
                <w:color w:val="auto"/>
                <w:highlight w:val="none"/>
              </w:rPr>
              <w:t>混凝土碳化深度测量仪</w:t>
            </w:r>
          </w:p>
        </w:tc>
      </w:tr>
    </w:tbl>
    <w:p>
      <w:pPr>
        <w:pStyle w:val="4"/>
        <w:keepLines w:val="0"/>
        <w:numPr>
          <w:ilvl w:val="0"/>
          <w:numId w:val="2"/>
        </w:numPr>
        <w:wordWrap w:val="0"/>
        <w:spacing w:line="480" w:lineRule="exact"/>
        <w:jc w:val="both"/>
        <w:rPr>
          <w:rStyle w:val="7"/>
          <w:rFonts w:hint="eastAsia"/>
          <w:b/>
          <w:bCs/>
          <w:color w:val="auto"/>
          <w:szCs w:val="22"/>
          <w:highlight w:val="none"/>
        </w:rPr>
      </w:pPr>
      <w:bookmarkStart w:id="27" w:name="_Toc3990"/>
      <w:bookmarkStart w:id="28" w:name="_Toc19341"/>
      <w:bookmarkStart w:id="29" w:name="_Toc23698"/>
      <w:r>
        <w:rPr>
          <w:rStyle w:val="7"/>
          <w:rFonts w:hint="eastAsia"/>
          <w:b/>
          <w:bCs/>
          <w:color w:val="auto"/>
          <w:szCs w:val="22"/>
          <w:highlight w:val="none"/>
        </w:rPr>
        <w:t>鉴定报告要求</w:t>
      </w:r>
      <w:bookmarkEnd w:id="27"/>
      <w:bookmarkEnd w:id="28"/>
      <w:bookmarkEnd w:id="29"/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最终出具的鉴定报告应包含以下内容：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（1）建筑物概况；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（2）鉴定的目的、范围和内容；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（3）检查、分析、鉴定的结果；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（4）结论与建议；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（5）报告附件。</w:t>
      </w:r>
    </w:p>
    <w:p>
      <w:pPr>
        <w:pStyle w:val="4"/>
        <w:keepLines w:val="0"/>
        <w:numPr>
          <w:ilvl w:val="0"/>
          <w:numId w:val="2"/>
        </w:numPr>
        <w:wordWrap w:val="0"/>
        <w:spacing w:line="480" w:lineRule="exact"/>
        <w:jc w:val="both"/>
        <w:rPr>
          <w:rStyle w:val="7"/>
          <w:b/>
          <w:bCs/>
          <w:color w:val="auto"/>
          <w:szCs w:val="22"/>
          <w:highlight w:val="none"/>
        </w:rPr>
      </w:pPr>
      <w:r>
        <w:rPr>
          <w:rStyle w:val="7"/>
          <w:rFonts w:hint="eastAsia"/>
          <w:b/>
          <w:bCs/>
          <w:color w:val="auto"/>
          <w:szCs w:val="22"/>
          <w:highlight w:val="none"/>
        </w:rPr>
        <w:t>提交成果文件的内容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（1）检测报告；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（2）房屋安全鉴定报告；</w:t>
      </w:r>
    </w:p>
    <w:p>
      <w:pPr>
        <w:tabs>
          <w:tab w:val="left" w:pos="642"/>
        </w:tabs>
        <w:snapToGrid w:val="0"/>
        <w:spacing w:before="120" w:beforeLines="50" w:after="120" w:afterLines="50" w:line="440" w:lineRule="exact"/>
        <w:ind w:left="38" w:leftChars="18" w:right="34" w:firstLine="480" w:firstLineChars="200"/>
        <w:rPr>
          <w:rFonts w:hint="eastAsia" w:ascii="宋体" w:hAnsi="宋体" w:cs="Arial"/>
          <w:color w:val="auto"/>
          <w:kern w:val="0"/>
          <w:sz w:val="24"/>
          <w:highlight w:val="none"/>
        </w:rPr>
      </w:pPr>
      <w:r>
        <w:rPr>
          <w:rFonts w:hint="eastAsia" w:ascii="宋体" w:hAnsi="宋体" w:cs="Arial"/>
          <w:color w:val="auto"/>
          <w:kern w:val="0"/>
          <w:sz w:val="24"/>
          <w:highlight w:val="none"/>
        </w:rPr>
        <w:t>（3）可靠性鉴定报告。</w:t>
      </w:r>
    </w:p>
    <w:p>
      <w:pPr>
        <w:rPr>
          <w:color w:val="auto"/>
          <w:highlight w:val="none"/>
        </w:rPr>
      </w:pPr>
    </w:p>
    <w:bookmarkEnd w:id="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C55601"/>
    <w:multiLevelType w:val="singleLevel"/>
    <w:tmpl w:val="EEC556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428E003"/>
    <w:multiLevelType w:val="singleLevel"/>
    <w:tmpl w:val="2428E00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2A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Lines/>
      <w:spacing w:line="560" w:lineRule="exact"/>
      <w:jc w:val="center"/>
      <w:outlineLvl w:val="0"/>
    </w:pPr>
    <w:rPr>
      <w:rFonts w:ascii="Times New Roman" w:hAnsi="Times New Roman" w:eastAsia="宋体" w:cs="Times New Roman"/>
      <w:b/>
      <w:bCs/>
      <w:kern w:val="44"/>
      <w:sz w:val="36"/>
      <w:szCs w:val="44"/>
    </w:rPr>
  </w:style>
  <w:style w:type="paragraph" w:styleId="4">
    <w:name w:val="heading 2"/>
    <w:basedOn w:val="1"/>
    <w:next w:val="1"/>
    <w:link w:val="7"/>
    <w:qFormat/>
    <w:uiPriority w:val="0"/>
    <w:pPr>
      <w:keepNext/>
      <w:keepLines/>
      <w:spacing w:line="520" w:lineRule="exact"/>
      <w:jc w:val="center"/>
      <w:outlineLvl w:val="1"/>
    </w:pPr>
    <w:rPr>
      <w:rFonts w:ascii="宋体" w:hAnsi="宋体" w:eastAsia="宋体" w:cs="Times New Roman"/>
      <w:b/>
      <w:bCs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kern w:val="10"/>
      <w:szCs w:val="21"/>
    </w:rPr>
  </w:style>
  <w:style w:type="character" w:customStyle="1" w:styleId="7">
    <w:name w:val="标题 2 字符"/>
    <w:link w:val="4"/>
    <w:uiPriority w:val="0"/>
    <w:rPr>
      <w:rFonts w:ascii="宋体" w:hAnsi="宋体" w:eastAsia="宋体" w:cs="Times New Roman"/>
      <w:b/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2020-07-19T10:57:14Z</dcterms:created>
  <dc:creator>Administrator</dc:creator>
  <cp:lastModifiedBy>Administrator</cp:lastModifiedBy>
  <dcterms:modified xsi:type="dcterms:W3CDTF">2020-07-19T10:57:25Z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