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360" w:lineRule="auto"/>
        <w:ind w:firstLine="0" w:firstLineChars="0"/>
        <w:jc w:val="center"/>
        <w:outlineLvl w:val="0"/>
        <w:rPr>
          <w:rStyle w:val="13"/>
          <w:b w:val="0"/>
        </w:rPr>
      </w:pPr>
      <w:bookmarkStart w:id="3" w:name="_GoBack"/>
      <w:bookmarkEnd w:id="3"/>
      <w:r>
        <w:rPr>
          <w:rStyle w:val="13"/>
          <w:rFonts w:hint="eastAsia"/>
          <w:b w:val="0"/>
        </w:rPr>
        <w:t>采购需求</w:t>
      </w:r>
    </w:p>
    <w:p>
      <w:pPr>
        <w:pStyle w:val="2"/>
        <w:spacing w:before="0" w:after="120" w:line="400" w:lineRule="exact"/>
        <w:jc w:val="left"/>
        <w:rPr>
          <w:rFonts w:ascii="Times New Roman" w:hAnsi="Times New Roman" w:eastAsia="黑体"/>
          <w:b w:val="0"/>
          <w:sz w:val="28"/>
          <w:szCs w:val="28"/>
        </w:rPr>
      </w:pPr>
      <w:bookmarkStart w:id="0" w:name="_Toc19694168"/>
      <w:r>
        <w:rPr>
          <w:rFonts w:ascii="Times New Roman" w:hAnsi="Times New Roman" w:eastAsia="黑体"/>
          <w:b w:val="0"/>
          <w:sz w:val="28"/>
          <w:szCs w:val="28"/>
        </w:rPr>
        <w:t>1</w:t>
      </w:r>
      <w:r>
        <w:rPr>
          <w:rFonts w:hint="eastAsia" w:ascii="Times New Roman" w:hAnsi="Times New Roman" w:eastAsia="黑体"/>
          <w:b w:val="0"/>
          <w:sz w:val="28"/>
          <w:szCs w:val="28"/>
        </w:rPr>
        <w:t>、</w:t>
      </w:r>
      <w:r>
        <w:rPr>
          <w:rFonts w:ascii="Times New Roman" w:hAnsi="黑体" w:eastAsia="黑体"/>
          <w:b w:val="0"/>
          <w:sz w:val="28"/>
          <w:szCs w:val="28"/>
        </w:rPr>
        <w:t>工程概况</w:t>
      </w:r>
      <w:bookmarkEnd w:id="0"/>
    </w:p>
    <w:p>
      <w:pPr>
        <w:spacing w:line="40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海南陵水国贸清水湾项目，涵盖9幢高层和1幢酒店，总建筑面积约为26.83万m</w:t>
      </w:r>
      <w:r>
        <w:rPr>
          <w:rFonts w:hint="eastAsia"/>
          <w:sz w:val="24"/>
          <w:vertAlign w:val="superscript"/>
        </w:rPr>
        <w:t>2</w:t>
      </w:r>
      <w:r>
        <w:rPr>
          <w:rFonts w:hint="eastAsia"/>
          <w:sz w:val="24"/>
        </w:rPr>
        <w:t>，其中高层住宅建筑面积约25.03万m</w:t>
      </w:r>
      <w:r>
        <w:rPr>
          <w:rFonts w:hint="eastAsia"/>
          <w:sz w:val="24"/>
          <w:vertAlign w:val="superscript"/>
        </w:rPr>
        <w:t>2</w:t>
      </w:r>
      <w:r>
        <w:rPr>
          <w:rFonts w:hint="eastAsia"/>
          <w:sz w:val="24"/>
        </w:rPr>
        <w:t>、酒店面积约1.8万m</w:t>
      </w:r>
      <w:r>
        <w:rPr>
          <w:rFonts w:hint="eastAsia"/>
          <w:sz w:val="24"/>
          <w:vertAlign w:val="superscript"/>
        </w:rPr>
        <w:t>2</w:t>
      </w:r>
      <w:r>
        <w:rPr>
          <w:rFonts w:hint="eastAsia"/>
          <w:sz w:val="24"/>
        </w:rPr>
        <w:t>。因工作需要，委托专业的检测单位对该项目高层住宅和酒店共计10幢（其中高层住宅9幢、酒店1幢，高层建筑面积约25.03万m</w:t>
      </w:r>
      <w:r>
        <w:rPr>
          <w:rFonts w:hint="eastAsia"/>
          <w:sz w:val="24"/>
          <w:vertAlign w:val="superscript"/>
        </w:rPr>
        <w:t>2</w:t>
      </w:r>
      <w:r>
        <w:rPr>
          <w:rFonts w:hint="eastAsia"/>
          <w:sz w:val="24"/>
        </w:rPr>
        <w:t>，酒店建筑面积约1.8万m</w:t>
      </w:r>
      <w:r>
        <w:rPr>
          <w:rFonts w:hint="eastAsia"/>
          <w:sz w:val="24"/>
          <w:vertAlign w:val="superscript"/>
        </w:rPr>
        <w:t>2</w:t>
      </w:r>
      <w:r>
        <w:rPr>
          <w:rFonts w:hint="eastAsia"/>
          <w:sz w:val="24"/>
        </w:rPr>
        <w:t>）房屋质量进行全面检测，对其结构安全性和抗震性能进行综合评价，并对可能存在的问题提出处理建议。</w:t>
      </w:r>
    </w:p>
    <w:p>
      <w:pPr>
        <w:spacing w:afterLines="50"/>
      </w:pPr>
    </w:p>
    <w:p>
      <w:pPr>
        <w:pStyle w:val="2"/>
        <w:spacing w:before="0" w:after="120" w:line="400" w:lineRule="exact"/>
        <w:jc w:val="left"/>
        <w:rPr>
          <w:rFonts w:ascii="Times New Roman" w:hAnsi="Times New Roman" w:eastAsia="黑体"/>
          <w:b w:val="0"/>
          <w:sz w:val="28"/>
          <w:szCs w:val="28"/>
        </w:rPr>
      </w:pPr>
      <w:r>
        <w:rPr>
          <w:rFonts w:hint="eastAsia" w:ascii="Times New Roman" w:hAnsi="Times New Roman" w:eastAsia="黑体"/>
          <w:b w:val="0"/>
          <w:sz w:val="28"/>
          <w:szCs w:val="28"/>
        </w:rPr>
        <w:t>2、</w:t>
      </w:r>
      <w:r>
        <w:rPr>
          <w:rFonts w:hint="eastAsia" w:ascii="Times New Roman" w:hAnsi="黑体" w:eastAsia="黑体"/>
          <w:b w:val="0"/>
          <w:sz w:val="28"/>
          <w:szCs w:val="28"/>
        </w:rPr>
        <w:t>检测范围</w:t>
      </w:r>
    </w:p>
    <w:tbl>
      <w:tblPr>
        <w:tblStyle w:val="9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1571"/>
        <w:gridCol w:w="2400"/>
        <w:gridCol w:w="1675"/>
        <w:gridCol w:w="18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33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检测项目类型</w:t>
            </w:r>
          </w:p>
        </w:tc>
        <w:tc>
          <w:tcPr>
            <w:tcW w:w="98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幢数</w:t>
            </w:r>
          </w:p>
        </w:tc>
        <w:tc>
          <w:tcPr>
            <w:tcW w:w="108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面积(万㎡)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0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2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高层住宅</w:t>
            </w:r>
          </w:p>
        </w:tc>
        <w:tc>
          <w:tcPr>
            <w:tcW w:w="1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房屋结构安全检测鉴定</w:t>
            </w:r>
          </w:p>
        </w:tc>
        <w:tc>
          <w:tcPr>
            <w:tcW w:w="9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0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25.03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酒店</w:t>
            </w:r>
          </w:p>
        </w:tc>
        <w:tc>
          <w:tcPr>
            <w:tcW w:w="14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房屋结构安全检测鉴定</w:t>
            </w:r>
          </w:p>
        </w:tc>
        <w:tc>
          <w:tcPr>
            <w:tcW w:w="98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331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08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26.83</w:t>
            </w:r>
          </w:p>
        </w:tc>
      </w:tr>
    </w:tbl>
    <w:p>
      <w:pPr>
        <w:spacing w:afterLines="50"/>
      </w:pPr>
    </w:p>
    <w:p>
      <w:pPr>
        <w:pStyle w:val="2"/>
        <w:spacing w:before="0" w:after="120" w:line="400" w:lineRule="exact"/>
        <w:jc w:val="left"/>
        <w:rPr>
          <w:rFonts w:ascii="Times New Roman" w:hAnsi="黑体" w:eastAsia="黑体"/>
          <w:b w:val="0"/>
          <w:sz w:val="28"/>
          <w:szCs w:val="28"/>
        </w:rPr>
      </w:pPr>
      <w:bookmarkStart w:id="1" w:name="_Toc19694169"/>
      <w:r>
        <w:rPr>
          <w:rFonts w:hint="eastAsia" w:ascii="Times New Roman" w:hAnsi="黑体" w:eastAsia="黑体"/>
          <w:b w:val="0"/>
          <w:sz w:val="28"/>
          <w:szCs w:val="28"/>
        </w:rPr>
        <w:t>3、</w:t>
      </w:r>
      <w:r>
        <w:rPr>
          <w:rFonts w:ascii="Times New Roman" w:hAnsi="黑体" w:eastAsia="黑体"/>
          <w:b w:val="0"/>
          <w:sz w:val="28"/>
          <w:szCs w:val="28"/>
        </w:rPr>
        <w:t>主要技术依据</w:t>
      </w:r>
      <w:bookmarkEnd w:id="1"/>
    </w:p>
    <w:p>
      <w:pPr>
        <w:spacing w:line="400" w:lineRule="atLeast"/>
        <w:ind w:firstLine="480" w:firstLineChars="200"/>
        <w:rPr>
          <w:sz w:val="24"/>
        </w:rPr>
      </w:pPr>
      <w:r>
        <w:rPr>
          <w:sz w:val="24"/>
        </w:rPr>
        <w:t>（1）国家标准《混凝土结构设计规范》（GB50010-2010）</w:t>
      </w:r>
      <w:r>
        <w:rPr>
          <w:rFonts w:hint="eastAsia"/>
          <w:sz w:val="24"/>
        </w:rPr>
        <w:t>（2015年版）</w:t>
      </w:r>
    </w:p>
    <w:p>
      <w:pPr>
        <w:spacing w:line="400" w:lineRule="atLeast"/>
        <w:ind w:firstLine="480" w:firstLineChars="200"/>
        <w:rPr>
          <w:sz w:val="24"/>
        </w:rPr>
      </w:pPr>
      <w:r>
        <w:rPr>
          <w:sz w:val="24"/>
        </w:rPr>
        <w:t>（</w:t>
      </w:r>
      <w:r>
        <w:rPr>
          <w:rFonts w:hint="eastAsia"/>
          <w:sz w:val="24"/>
        </w:rPr>
        <w:t>2</w:t>
      </w:r>
      <w:r>
        <w:rPr>
          <w:sz w:val="24"/>
        </w:rPr>
        <w:t>）国家标准《建筑结构荷载规范》（GB500</w:t>
      </w:r>
      <w:r>
        <w:rPr>
          <w:rFonts w:hint="eastAsia"/>
          <w:sz w:val="24"/>
        </w:rPr>
        <w:t>0</w:t>
      </w:r>
      <w:r>
        <w:rPr>
          <w:sz w:val="24"/>
        </w:rPr>
        <w:t>9-2012）</w:t>
      </w:r>
    </w:p>
    <w:p>
      <w:pPr>
        <w:spacing w:line="400" w:lineRule="atLeast"/>
        <w:ind w:firstLine="480" w:firstLineChars="200"/>
        <w:rPr>
          <w:sz w:val="24"/>
        </w:rPr>
      </w:pPr>
      <w:r>
        <w:rPr>
          <w:sz w:val="24"/>
        </w:rPr>
        <w:t>（</w:t>
      </w:r>
      <w:r>
        <w:rPr>
          <w:rFonts w:hint="eastAsia"/>
          <w:sz w:val="24"/>
        </w:rPr>
        <w:t>3</w:t>
      </w:r>
      <w:r>
        <w:rPr>
          <w:sz w:val="24"/>
        </w:rPr>
        <w:t>）国家标准《建筑抗震设计规范》（GB50011-2010）</w:t>
      </w:r>
      <w:r>
        <w:rPr>
          <w:rFonts w:hint="eastAsia"/>
          <w:sz w:val="24"/>
        </w:rPr>
        <w:t>（2016年版）</w:t>
      </w:r>
    </w:p>
    <w:p>
      <w:pPr>
        <w:spacing w:line="400" w:lineRule="atLeast"/>
        <w:ind w:firstLine="480" w:firstLineChars="200"/>
        <w:rPr>
          <w:sz w:val="24"/>
        </w:rPr>
      </w:pPr>
      <w:r>
        <w:rPr>
          <w:sz w:val="24"/>
        </w:rPr>
        <w:t>（</w:t>
      </w:r>
      <w:r>
        <w:rPr>
          <w:rFonts w:hint="eastAsia"/>
          <w:sz w:val="24"/>
        </w:rPr>
        <w:t>4</w:t>
      </w:r>
      <w:r>
        <w:rPr>
          <w:sz w:val="24"/>
        </w:rPr>
        <w:t>）国家标准《民用建筑可靠性鉴定标准》（GB50292-2015）</w:t>
      </w:r>
    </w:p>
    <w:p>
      <w:pPr>
        <w:spacing w:line="400" w:lineRule="atLeast"/>
        <w:ind w:firstLine="480" w:firstLineChars="200"/>
        <w:rPr>
          <w:sz w:val="24"/>
        </w:rPr>
      </w:pPr>
      <w:r>
        <w:rPr>
          <w:rFonts w:hint="eastAsia"/>
          <w:sz w:val="24"/>
        </w:rPr>
        <w:t>（5）国家标准</w:t>
      </w:r>
      <w:r>
        <w:rPr>
          <w:sz w:val="24"/>
        </w:rPr>
        <w:t>《建筑结构检测技术标准》（GB/T50343-2004）</w:t>
      </w:r>
    </w:p>
    <w:p>
      <w:pPr>
        <w:spacing w:line="400" w:lineRule="atLeast"/>
        <w:ind w:firstLine="480" w:firstLineChars="200"/>
        <w:rPr>
          <w:sz w:val="24"/>
        </w:rPr>
      </w:pPr>
      <w:r>
        <w:rPr>
          <w:rFonts w:hint="eastAsia"/>
          <w:sz w:val="24"/>
        </w:rPr>
        <w:t>（6）</w:t>
      </w:r>
      <w:r>
        <w:rPr>
          <w:sz w:val="24"/>
        </w:rPr>
        <w:t>国家标准《</w:t>
      </w:r>
      <w:r>
        <w:rPr>
          <w:rFonts w:hint="eastAsia"/>
          <w:sz w:val="24"/>
        </w:rPr>
        <w:t>混凝土结构现场</w:t>
      </w:r>
      <w:r>
        <w:rPr>
          <w:sz w:val="24"/>
        </w:rPr>
        <w:t>检测技术标准》（GB/T 50</w:t>
      </w:r>
      <w:r>
        <w:rPr>
          <w:rFonts w:hint="eastAsia"/>
          <w:sz w:val="24"/>
        </w:rPr>
        <w:t>784</w:t>
      </w:r>
      <w:r>
        <w:rPr>
          <w:sz w:val="24"/>
        </w:rPr>
        <w:t>-20</w:t>
      </w:r>
      <w:r>
        <w:rPr>
          <w:rFonts w:hint="eastAsia"/>
          <w:sz w:val="24"/>
        </w:rPr>
        <w:t>13</w:t>
      </w:r>
      <w:r>
        <w:rPr>
          <w:sz w:val="24"/>
        </w:rPr>
        <w:t>）</w:t>
      </w:r>
    </w:p>
    <w:p>
      <w:pPr>
        <w:spacing w:line="400" w:lineRule="atLeast"/>
        <w:ind w:firstLine="480" w:firstLineChars="200"/>
        <w:rPr>
          <w:sz w:val="24"/>
        </w:rPr>
      </w:pPr>
      <w:r>
        <w:rPr>
          <w:rFonts w:hint="eastAsia"/>
          <w:sz w:val="24"/>
        </w:rPr>
        <w:t>（7）国家标准《建筑地基基础设计规范》（</w:t>
      </w:r>
      <w:r>
        <w:rPr>
          <w:sz w:val="24"/>
        </w:rPr>
        <w:t>G</w:t>
      </w:r>
      <w:r>
        <w:rPr>
          <w:rFonts w:hint="eastAsia"/>
          <w:sz w:val="24"/>
        </w:rPr>
        <w:t>B50007</w:t>
      </w:r>
      <w:r>
        <w:rPr>
          <w:sz w:val="24"/>
        </w:rPr>
        <w:t>-</w:t>
      </w:r>
      <w:r>
        <w:rPr>
          <w:rFonts w:hint="eastAsia"/>
          <w:sz w:val="24"/>
        </w:rPr>
        <w:t>2011）</w:t>
      </w:r>
    </w:p>
    <w:p>
      <w:pPr>
        <w:spacing w:line="400" w:lineRule="atLeast"/>
        <w:ind w:firstLine="480" w:firstLineChars="200"/>
        <w:rPr>
          <w:sz w:val="24"/>
        </w:rPr>
      </w:pPr>
      <w:r>
        <w:rPr>
          <w:rFonts w:hint="eastAsia"/>
          <w:sz w:val="24"/>
        </w:rPr>
        <w:t>（8）</w:t>
      </w:r>
      <w:r>
        <w:rPr>
          <w:sz w:val="24"/>
        </w:rPr>
        <w:t>中华人民共和国行业标准</w:t>
      </w:r>
      <w:r>
        <w:rPr>
          <w:rFonts w:hint="eastAsia"/>
          <w:sz w:val="24"/>
        </w:rPr>
        <w:t>《高层建筑混凝土结构技术规程》（JGJ 3-2010）</w:t>
      </w:r>
    </w:p>
    <w:p>
      <w:pPr>
        <w:spacing w:line="400" w:lineRule="atLeast"/>
        <w:ind w:firstLine="480" w:firstLineChars="200"/>
        <w:rPr>
          <w:sz w:val="24"/>
        </w:rPr>
      </w:pPr>
      <w:r>
        <w:rPr>
          <w:sz w:val="24"/>
        </w:rPr>
        <w:t>（</w:t>
      </w:r>
      <w:r>
        <w:rPr>
          <w:rFonts w:hint="eastAsia"/>
          <w:sz w:val="24"/>
        </w:rPr>
        <w:t>9</w:t>
      </w:r>
      <w:r>
        <w:rPr>
          <w:sz w:val="24"/>
        </w:rPr>
        <w:t>）中华人民共和国行业标准《建筑变形测量规范》（JGJ 8-20</w:t>
      </w:r>
      <w:r>
        <w:rPr>
          <w:rFonts w:hint="eastAsia"/>
          <w:sz w:val="24"/>
        </w:rPr>
        <w:t>16</w:t>
      </w:r>
      <w:r>
        <w:rPr>
          <w:sz w:val="24"/>
        </w:rPr>
        <w:t>）</w:t>
      </w:r>
    </w:p>
    <w:p>
      <w:pPr>
        <w:spacing w:line="400" w:lineRule="atLeast"/>
        <w:ind w:firstLine="480" w:firstLineChars="200"/>
        <w:rPr>
          <w:sz w:val="24"/>
        </w:rPr>
      </w:pPr>
      <w:r>
        <w:rPr>
          <w:sz w:val="24"/>
        </w:rPr>
        <w:t>（</w:t>
      </w:r>
      <w:r>
        <w:rPr>
          <w:rFonts w:hint="eastAsia"/>
          <w:sz w:val="24"/>
        </w:rPr>
        <w:t>10</w:t>
      </w:r>
      <w:r>
        <w:rPr>
          <w:sz w:val="24"/>
        </w:rPr>
        <w:t>）中华人民共和国行业标准《回弹法检测混凝土抗压强度技术规程》（JGJ/T23-2011）</w:t>
      </w:r>
    </w:p>
    <w:p>
      <w:pPr>
        <w:spacing w:line="400" w:lineRule="atLeast"/>
        <w:ind w:firstLine="480" w:firstLineChars="200"/>
        <w:rPr>
          <w:sz w:val="24"/>
        </w:rPr>
      </w:pPr>
      <w:r>
        <w:rPr>
          <w:rFonts w:hint="eastAsia"/>
          <w:sz w:val="24"/>
        </w:rPr>
        <w:t>（11）</w:t>
      </w:r>
      <w:r>
        <w:rPr>
          <w:sz w:val="24"/>
        </w:rPr>
        <w:t>中华人民共和国行业标准《</w:t>
      </w:r>
      <w:r>
        <w:rPr>
          <w:rFonts w:hint="eastAsia"/>
          <w:sz w:val="24"/>
        </w:rPr>
        <w:t>钻芯法</w:t>
      </w:r>
      <w:r>
        <w:rPr>
          <w:sz w:val="24"/>
        </w:rPr>
        <w:t>检测混凝土抗压强度技术规程》（JGJ/T</w:t>
      </w:r>
      <w:r>
        <w:rPr>
          <w:rFonts w:hint="eastAsia"/>
          <w:sz w:val="24"/>
        </w:rPr>
        <w:t>384</w:t>
      </w:r>
      <w:r>
        <w:rPr>
          <w:sz w:val="24"/>
        </w:rPr>
        <w:t>-201</w:t>
      </w:r>
      <w:r>
        <w:rPr>
          <w:rFonts w:hint="eastAsia"/>
          <w:sz w:val="24"/>
        </w:rPr>
        <w:t>6</w:t>
      </w:r>
      <w:r>
        <w:rPr>
          <w:sz w:val="24"/>
        </w:rPr>
        <w:t>）</w:t>
      </w:r>
    </w:p>
    <w:p>
      <w:pPr>
        <w:spacing w:line="400" w:lineRule="exact"/>
        <w:ind w:firstLine="480" w:firstLineChars="20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（12）</w:t>
      </w:r>
      <w:r>
        <w:rPr>
          <w:rFonts w:ascii="Times New Roman" w:hAnsi="Times New Roman"/>
          <w:sz w:val="24"/>
        </w:rPr>
        <w:t>中国工程建设标准化协会标准《超声回弹综合法检测混凝土强度技术规程》（CECS 02:2005）</w:t>
      </w:r>
    </w:p>
    <w:p>
      <w:pPr>
        <w:pStyle w:val="2"/>
        <w:spacing w:before="0" w:after="120" w:line="400" w:lineRule="exact"/>
        <w:jc w:val="left"/>
        <w:rPr>
          <w:rFonts w:ascii="Times New Roman" w:hAnsi="黑体" w:eastAsia="黑体"/>
          <w:b w:val="0"/>
          <w:sz w:val="28"/>
          <w:szCs w:val="28"/>
        </w:rPr>
      </w:pPr>
      <w:bookmarkStart w:id="2" w:name="_Toc19694170"/>
      <w:r>
        <w:rPr>
          <w:rFonts w:hint="eastAsia" w:ascii="Times New Roman" w:hAnsi="黑体" w:eastAsia="黑体"/>
          <w:b w:val="0"/>
          <w:sz w:val="28"/>
          <w:szCs w:val="28"/>
        </w:rPr>
        <w:t>4、主要检测鉴定工作内容</w:t>
      </w:r>
      <w:bookmarkEnd w:id="2"/>
    </w:p>
    <w:p>
      <w:pPr>
        <w:spacing w:line="40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根项目特点及委托方要求，结合上述房屋的结构特点及项目的实际情况，房屋质量检测评定主要开展以下工作内容：</w:t>
      </w:r>
    </w:p>
    <w:p>
      <w:pPr>
        <w:spacing w:line="40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（1）房屋建筑结构情况的检测与复核；</w:t>
      </w:r>
    </w:p>
    <w:p>
      <w:pPr>
        <w:spacing w:line="40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（2）房屋结构体系和连接构造的调查；</w:t>
      </w:r>
    </w:p>
    <w:p>
      <w:pPr>
        <w:spacing w:line="40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（3）房屋主要结构材料强度的检测；</w:t>
      </w:r>
    </w:p>
    <w:p>
      <w:pPr>
        <w:spacing w:line="40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（4）房屋相对不均匀沉降和倾斜情况的检测；</w:t>
      </w:r>
    </w:p>
    <w:p>
      <w:pPr>
        <w:spacing w:line="40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（5）房屋建筑、结构的完损状况检测；</w:t>
      </w:r>
    </w:p>
    <w:p>
      <w:pPr>
        <w:spacing w:line="40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（6）房屋使用荷载的调查；</w:t>
      </w:r>
    </w:p>
    <w:p>
      <w:pPr>
        <w:spacing w:line="40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（7）房屋结构承载力验算分析；</w:t>
      </w:r>
    </w:p>
    <w:p>
      <w:pPr>
        <w:spacing w:line="40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（8）房屋结构抗震构造措施的调查分析；</w:t>
      </w:r>
    </w:p>
    <w:p>
      <w:pPr>
        <w:spacing w:line="40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（9）房屋结构安全性的综合评定；</w:t>
      </w:r>
    </w:p>
    <w:p>
      <w:pPr>
        <w:spacing w:line="40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（10）房屋结构抗震性能鉴定；</w:t>
      </w:r>
    </w:p>
    <w:p>
      <w:pPr>
        <w:spacing w:line="40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（11）对可能存在的问题提出处理建议；</w:t>
      </w:r>
    </w:p>
    <w:p>
      <w:pPr>
        <w:spacing w:line="40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（12）出具房屋质量检测评定报告一套。</w:t>
      </w:r>
    </w:p>
    <w:p>
      <w:pPr>
        <w:spacing w:afterLines="50" w:line="400" w:lineRule="exact"/>
        <w:rPr>
          <w:sz w:val="24"/>
        </w:rPr>
      </w:pPr>
    </w:p>
    <w:p>
      <w:pPr>
        <w:pStyle w:val="2"/>
        <w:spacing w:before="0" w:after="120" w:line="400" w:lineRule="exact"/>
        <w:jc w:val="left"/>
        <w:rPr>
          <w:rFonts w:ascii="Times New Roman" w:hAnsi="黑体" w:eastAsia="黑体"/>
          <w:b w:val="0"/>
          <w:sz w:val="28"/>
          <w:szCs w:val="28"/>
        </w:rPr>
      </w:pPr>
      <w:r>
        <w:rPr>
          <w:rFonts w:hint="eastAsia" w:ascii="Times New Roman" w:hAnsi="黑体" w:eastAsia="黑体"/>
          <w:b w:val="0"/>
          <w:sz w:val="28"/>
          <w:szCs w:val="28"/>
        </w:rPr>
        <w:t>5、检测鉴定要求</w:t>
      </w:r>
    </w:p>
    <w:p>
      <w:pPr>
        <w:spacing w:line="40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1）房屋建筑结构情况的检测与复核。对房屋的平面布置、门窗洞口的平面位置及尺寸、楼层层高进行抽样检测，对建筑情况进行检测复核。对结构平面布置、主要构件截面尺寸、配筋情况、保护层厚度、楼板厚度等进行抽样检测，对结构情况进行检测复核。</w:t>
      </w:r>
    </w:p>
    <w:p>
      <w:pPr>
        <w:spacing w:line="40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2）房屋结构体系和连接构造的调查。对结构体系和主要结构构件的基本连接构造进行调查，并与相关规范进行对比分析，对其合理性进行评估。</w:t>
      </w:r>
    </w:p>
    <w:p>
      <w:pPr>
        <w:spacing w:line="40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3）房屋主要结构材料强度的检测。要求根据各房屋不同的结构形式和特点，现场对混凝土强度、钢筋强度、钢构件的强度进行抽样检测。</w:t>
      </w:r>
    </w:p>
    <w:p>
      <w:pPr>
        <w:spacing w:line="40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4）房屋相对不均匀沉降和倾斜情况的检测。采用测量设备，对房屋的沉降和倾斜情况进行测量，对变形情况进行分析。</w:t>
      </w:r>
    </w:p>
    <w:p>
      <w:pPr>
        <w:spacing w:line="40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5）房屋建筑、结构的完损状况检测。要求对房屋建筑立面、内部墙体开裂或渗水损伤、主要构件开裂变形、钢筋锈蚀、施工缺陷、耐久性损伤问题等进行检测，对影响建筑结构使用和安全的问题进行全面记录。</w:t>
      </w:r>
    </w:p>
    <w:p>
      <w:pPr>
        <w:spacing w:line="40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6）房屋使用荷载的调查。对各房屋的使用荷载进行全面调查，包括恒荷载和活荷载的调查。</w:t>
      </w:r>
    </w:p>
    <w:p>
      <w:pPr>
        <w:spacing w:line="40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7）房屋结构承载力验算分析。根据检测结果，建立合理的计算模型，按现行规范的有关要求，对各房屋结构的承载力进行验算分析。验算分析时，需综合考虑房屋的实际检测结果，对结构整体性能指标、构件配筋情况、抗震变形情况等进行全面验算分析，要求列出主要的计算分析结果，计算结果作为评定房屋结构安全性和抗震性能的依据。</w:t>
      </w:r>
    </w:p>
    <w:p>
      <w:pPr>
        <w:spacing w:line="40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8）房屋结构抗震构造措施的调查分析。按现行抗震规范的要求，对各房屋抗震构造措施进行全面调查，包括对结构规则性、结构构件截面形式、材料强度、结构体系和抗震连接构造措施、主要混凝土构件配筋构造措施、混凝土构件轴压比等抗震措施进行调查分析。</w:t>
      </w:r>
    </w:p>
    <w:p>
      <w:pPr>
        <w:spacing w:line="40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9）房屋结构安全性的综合评定。根据现场检测和理论分析结果，综合房屋变形检测、损伤检测、承载力验算结果、结构整体稳定性调查分析结果，对房屋结构安全性进行综合评定。</w:t>
      </w:r>
    </w:p>
    <w:p>
      <w:pPr>
        <w:spacing w:line="40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10）房屋结构抗震性能鉴定。根据房屋结构抗震构造措施调查结果和抗震性能验算分析结果，对房屋结构抗震性能进行综合评定。</w:t>
      </w:r>
    </w:p>
    <w:p>
      <w:pPr>
        <w:spacing w:line="40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11）对可能存在的问题提出处理建议。要求根据检测鉴定结果，对各房屋可能存在的结构安全问题提出处理建议。</w:t>
      </w:r>
      <w:r>
        <w:rPr>
          <w:sz w:val="24"/>
        </w:rPr>
        <w:t xml:space="preserve"> </w:t>
      </w:r>
    </w:p>
    <w:p>
      <w:pPr>
        <w:spacing w:afterLines="50" w:line="400" w:lineRule="exact"/>
        <w:ind w:firstLine="480" w:firstLineChars="200"/>
        <w:rPr>
          <w:sz w:val="24"/>
        </w:rPr>
      </w:pPr>
    </w:p>
    <w:p>
      <w:pPr>
        <w:pStyle w:val="2"/>
        <w:spacing w:before="0" w:after="120" w:line="400" w:lineRule="exact"/>
        <w:jc w:val="left"/>
        <w:rPr>
          <w:rFonts w:ascii="Times New Roman" w:hAnsi="黑体" w:eastAsia="黑体"/>
          <w:b w:val="0"/>
          <w:sz w:val="28"/>
          <w:szCs w:val="28"/>
        </w:rPr>
      </w:pPr>
      <w:r>
        <w:rPr>
          <w:rFonts w:hint="eastAsia" w:ascii="Times New Roman" w:hAnsi="黑体" w:eastAsia="黑体"/>
          <w:b w:val="0"/>
          <w:sz w:val="28"/>
          <w:szCs w:val="28"/>
        </w:rPr>
        <w:t>6、商务要求</w:t>
      </w:r>
    </w:p>
    <w:p>
      <w:pPr>
        <w:spacing w:line="400" w:lineRule="atLeast"/>
        <w:ind w:firstLine="480" w:firstLineChars="200"/>
        <w:rPr>
          <w:sz w:val="24"/>
        </w:rPr>
      </w:pPr>
      <w:r>
        <w:rPr>
          <w:sz w:val="24"/>
        </w:rPr>
        <w:t>（1）</w:t>
      </w:r>
      <w:r>
        <w:rPr>
          <w:rFonts w:hint="eastAsia"/>
          <w:sz w:val="24"/>
        </w:rPr>
        <w:t>项目实施地点：海南省陵水黎族自治县。</w:t>
      </w:r>
    </w:p>
    <w:p>
      <w:pPr>
        <w:spacing w:line="400" w:lineRule="atLeast"/>
        <w:ind w:firstLine="480" w:firstLineChars="200"/>
        <w:rPr>
          <w:sz w:val="24"/>
        </w:rPr>
      </w:pPr>
      <w:r>
        <w:rPr>
          <w:sz w:val="24"/>
        </w:rPr>
        <w:t>（</w:t>
      </w:r>
      <w:r>
        <w:rPr>
          <w:rFonts w:hint="eastAsia"/>
          <w:sz w:val="24"/>
        </w:rPr>
        <w:t>2</w:t>
      </w:r>
      <w:r>
        <w:rPr>
          <w:sz w:val="24"/>
        </w:rPr>
        <w:t>）</w:t>
      </w:r>
      <w:r>
        <w:rPr>
          <w:rFonts w:hint="eastAsia"/>
          <w:sz w:val="24"/>
        </w:rPr>
        <w:t>项目完成时间（服务期限）：60日历天。</w:t>
      </w:r>
    </w:p>
    <w:p>
      <w:pPr>
        <w:spacing w:line="400" w:lineRule="atLeast"/>
        <w:ind w:firstLine="480" w:firstLineChars="200"/>
        <w:rPr>
          <w:sz w:val="24"/>
        </w:rPr>
      </w:pPr>
      <w:r>
        <w:rPr>
          <w:sz w:val="24"/>
        </w:rPr>
        <w:t>（</w:t>
      </w:r>
      <w:r>
        <w:rPr>
          <w:rFonts w:hint="eastAsia"/>
          <w:sz w:val="24"/>
        </w:rPr>
        <w:t>3</w:t>
      </w:r>
      <w:r>
        <w:rPr>
          <w:sz w:val="24"/>
        </w:rPr>
        <w:t>）</w:t>
      </w:r>
      <w:r>
        <w:rPr>
          <w:rFonts w:hint="eastAsia"/>
          <w:sz w:val="24"/>
        </w:rPr>
        <w:t>付款方式：签订合同后支付50%、提交检测报告后支付50%。</w:t>
      </w:r>
    </w:p>
    <w:p>
      <w:pPr>
        <w:spacing w:line="360" w:lineRule="auto"/>
        <w:ind w:firstLine="480" w:firstLineChars="200"/>
        <w:rPr>
          <w:sz w:val="24"/>
        </w:rPr>
      </w:pPr>
    </w:p>
    <w:p>
      <w:pPr>
        <w:spacing w:line="360" w:lineRule="auto"/>
        <w:ind w:firstLine="480" w:firstLineChars="200"/>
        <w:rPr>
          <w:sz w:val="24"/>
        </w:rPr>
      </w:pPr>
    </w:p>
    <w:p>
      <w:pPr>
        <w:spacing w:line="360" w:lineRule="auto"/>
        <w:ind w:firstLine="480" w:firstLineChars="200"/>
        <w:rPr>
          <w:sz w:val="24"/>
        </w:rPr>
      </w:pPr>
    </w:p>
    <w:p>
      <w:pPr>
        <w:spacing w:line="360" w:lineRule="auto"/>
        <w:ind w:firstLine="480" w:firstLineChars="200"/>
        <w:rPr>
          <w:sz w:val="24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31D50"/>
    <w:rsid w:val="00082372"/>
    <w:rsid w:val="001237A2"/>
    <w:rsid w:val="001A23D3"/>
    <w:rsid w:val="001A7A7B"/>
    <w:rsid w:val="001C01AC"/>
    <w:rsid w:val="001F4845"/>
    <w:rsid w:val="0027102A"/>
    <w:rsid w:val="00323B43"/>
    <w:rsid w:val="003429F6"/>
    <w:rsid w:val="003936CD"/>
    <w:rsid w:val="003D37D8"/>
    <w:rsid w:val="00407F5F"/>
    <w:rsid w:val="00426133"/>
    <w:rsid w:val="004358AB"/>
    <w:rsid w:val="00457868"/>
    <w:rsid w:val="00486BEE"/>
    <w:rsid w:val="004E4420"/>
    <w:rsid w:val="00522A3C"/>
    <w:rsid w:val="00552CD2"/>
    <w:rsid w:val="005B4FB5"/>
    <w:rsid w:val="005B6DD3"/>
    <w:rsid w:val="005E4BB3"/>
    <w:rsid w:val="005F5C1A"/>
    <w:rsid w:val="005F6C56"/>
    <w:rsid w:val="00611BA5"/>
    <w:rsid w:val="007512DB"/>
    <w:rsid w:val="00760B1E"/>
    <w:rsid w:val="007B7785"/>
    <w:rsid w:val="008A1472"/>
    <w:rsid w:val="008B7726"/>
    <w:rsid w:val="008D2C13"/>
    <w:rsid w:val="00954D81"/>
    <w:rsid w:val="0098567A"/>
    <w:rsid w:val="009C260E"/>
    <w:rsid w:val="009D01B4"/>
    <w:rsid w:val="00A23CE5"/>
    <w:rsid w:val="00A372D7"/>
    <w:rsid w:val="00AD62D1"/>
    <w:rsid w:val="00B60DA1"/>
    <w:rsid w:val="00BC6C42"/>
    <w:rsid w:val="00BF3749"/>
    <w:rsid w:val="00C25DB1"/>
    <w:rsid w:val="00C94CC8"/>
    <w:rsid w:val="00D31D50"/>
    <w:rsid w:val="00D33B1B"/>
    <w:rsid w:val="00D82EDC"/>
    <w:rsid w:val="00DB0FB7"/>
    <w:rsid w:val="00DB26EB"/>
    <w:rsid w:val="00DC64B7"/>
    <w:rsid w:val="00E45DC2"/>
    <w:rsid w:val="00E8040D"/>
    <w:rsid w:val="00E9049F"/>
    <w:rsid w:val="00EF1E80"/>
    <w:rsid w:val="00F01685"/>
    <w:rsid w:val="00F61075"/>
    <w:rsid w:val="00FB4604"/>
    <w:rsid w:val="00FE3CC5"/>
    <w:rsid w:val="046C5148"/>
    <w:rsid w:val="0ED94284"/>
    <w:rsid w:val="489F5CEF"/>
    <w:rsid w:val="5E9962A2"/>
    <w:rsid w:val="72F20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="340" w:after="330" w:line="576" w:lineRule="auto"/>
      <w:jc w:val="center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4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6"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link w:val="17"/>
    <w:qFormat/>
    <w:uiPriority w:val="0"/>
    <w:pPr>
      <w:ind w:firstLine="420" w:firstLineChars="200"/>
    </w:pPr>
    <w:rPr>
      <w:rFonts w:ascii="仿宋_GB2312"/>
      <w:b/>
    </w:rPr>
  </w:style>
  <w:style w:type="paragraph" w:styleId="6">
    <w:name w:val="Body Text Indent"/>
    <w:basedOn w:val="1"/>
    <w:link w:val="21"/>
    <w:qFormat/>
    <w:uiPriority w:val="0"/>
    <w:pPr>
      <w:spacing w:line="360" w:lineRule="auto"/>
      <w:ind w:firstLine="480" w:firstLineChars="200"/>
    </w:pPr>
    <w:rPr>
      <w:rFonts w:ascii="Times New Roman" w:hAnsi="Times New Roman"/>
      <w:sz w:val="24"/>
      <w:szCs w:val="24"/>
    </w:rPr>
  </w:style>
  <w:style w:type="paragraph" w:styleId="7">
    <w:name w:val="footer"/>
    <w:basedOn w:val="1"/>
    <w:link w:val="12"/>
    <w:unhideWhenUsed/>
    <w:qFormat/>
    <w:uiPriority w:val="99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hAnsi="Tahoma" w:eastAsia="微软雅黑" w:cstheme="minorBidi"/>
      <w:kern w:val="0"/>
      <w:sz w:val="18"/>
      <w:szCs w:val="18"/>
    </w:rPr>
  </w:style>
  <w:style w:type="paragraph" w:styleId="8">
    <w:name w:val="header"/>
    <w:basedOn w:val="1"/>
    <w:link w:val="11"/>
    <w:unhideWhenUsed/>
    <w:uiPriority w:val="99"/>
    <w:pPr>
      <w:widowControl/>
      <w:pBdr>
        <w:bottom w:val="single" w:color="auto" w:sz="6" w:space="1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hAnsi="Tahoma" w:eastAsia="微软雅黑" w:cstheme="minorBidi"/>
      <w:kern w:val="0"/>
      <w:sz w:val="18"/>
      <w:szCs w:val="18"/>
    </w:rPr>
  </w:style>
  <w:style w:type="character" w:customStyle="1" w:styleId="11">
    <w:name w:val="页眉 Char"/>
    <w:basedOn w:val="10"/>
    <w:link w:val="8"/>
    <w:uiPriority w:val="99"/>
    <w:rPr>
      <w:rFonts w:ascii="Tahoma" w:hAnsi="Tahoma"/>
      <w:sz w:val="18"/>
      <w:szCs w:val="18"/>
    </w:rPr>
  </w:style>
  <w:style w:type="character" w:customStyle="1" w:styleId="12">
    <w:name w:val="页脚 Char"/>
    <w:basedOn w:val="10"/>
    <w:link w:val="7"/>
    <w:qFormat/>
    <w:uiPriority w:val="99"/>
    <w:rPr>
      <w:rFonts w:ascii="Tahoma" w:hAnsi="Tahoma"/>
      <w:sz w:val="18"/>
      <w:szCs w:val="18"/>
    </w:rPr>
  </w:style>
  <w:style w:type="character" w:customStyle="1" w:styleId="13">
    <w:name w:val="标题 1 Char"/>
    <w:basedOn w:val="10"/>
    <w:link w:val="2"/>
    <w:qFormat/>
    <w:uiPriority w:val="0"/>
    <w:rPr>
      <w:rFonts w:ascii="Calibri" w:hAnsi="Calibri" w:eastAsia="宋体" w:cs="Times New Roman"/>
      <w:b/>
      <w:kern w:val="44"/>
      <w:sz w:val="44"/>
      <w:szCs w:val="20"/>
    </w:rPr>
  </w:style>
  <w:style w:type="character" w:customStyle="1" w:styleId="14">
    <w:name w:val="标题 2 Char"/>
    <w:basedOn w:val="10"/>
    <w:link w:val="3"/>
    <w:qFormat/>
    <w:uiPriority w:val="0"/>
    <w:rPr>
      <w:rFonts w:ascii="Arial" w:hAnsi="Arial" w:eastAsia="黑体" w:cs="Times New Roman"/>
      <w:b/>
      <w:kern w:val="2"/>
      <w:sz w:val="32"/>
      <w:szCs w:val="20"/>
    </w:rPr>
  </w:style>
  <w:style w:type="character" w:customStyle="1" w:styleId="15">
    <w:name w:val="标题 3 Char"/>
    <w:basedOn w:val="10"/>
    <w:semiHidden/>
    <w:uiPriority w:val="9"/>
    <w:rPr>
      <w:rFonts w:ascii="Calibri" w:hAnsi="Calibri" w:eastAsia="宋体" w:cs="Times New Roman"/>
      <w:b/>
      <w:bCs/>
      <w:kern w:val="2"/>
      <w:sz w:val="32"/>
      <w:szCs w:val="32"/>
    </w:rPr>
  </w:style>
  <w:style w:type="character" w:customStyle="1" w:styleId="16">
    <w:name w:val="标题 3 Char1"/>
    <w:link w:val="4"/>
    <w:qFormat/>
    <w:uiPriority w:val="0"/>
    <w:rPr>
      <w:rFonts w:ascii="Calibri" w:hAnsi="Calibri" w:eastAsia="宋体" w:cs="Times New Roman"/>
      <w:b/>
      <w:kern w:val="2"/>
      <w:sz w:val="32"/>
      <w:szCs w:val="20"/>
    </w:rPr>
  </w:style>
  <w:style w:type="character" w:customStyle="1" w:styleId="17">
    <w:name w:val="正文缩进 Char"/>
    <w:link w:val="5"/>
    <w:qFormat/>
    <w:uiPriority w:val="0"/>
    <w:rPr>
      <w:rFonts w:ascii="仿宋_GB2312" w:hAnsi="Calibri" w:eastAsia="宋体" w:cs="Times New Roman"/>
      <w:b/>
      <w:kern w:val="2"/>
      <w:sz w:val="21"/>
      <w:szCs w:val="20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paragraph" w:customStyle="1" w:styleId="19">
    <w:name w:val="_Style 17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/>
      <w:vanish/>
      <w:sz w:val="16"/>
    </w:rPr>
  </w:style>
  <w:style w:type="paragraph" w:customStyle="1" w:styleId="20">
    <w:name w:val="_Style 18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/>
      <w:vanish/>
      <w:sz w:val="16"/>
    </w:rPr>
  </w:style>
  <w:style w:type="character" w:customStyle="1" w:styleId="21">
    <w:name w:val="正文文本缩进 Char"/>
    <w:basedOn w:val="10"/>
    <w:link w:val="6"/>
    <w:qFormat/>
    <w:uiPriority w:val="0"/>
    <w:rPr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310</Words>
  <Characters>1769</Characters>
  <Lines>14</Lines>
  <Paragraphs>4</Paragraphs>
  <TotalTime>57</TotalTime>
  <ScaleCrop>false</ScaleCrop>
  <LinksUpToDate>false</LinksUpToDate>
  <CharactersWithSpaces>2075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2019-04-25T01:32:00Z</dcterms:created>
  <dc:creator>闫莹</dc:creator>
  <cp:lastModifiedBy>噜啦啦</cp:lastModifiedBy>
  <dcterms:modified xsi:type="dcterms:W3CDTF">2020-03-20T03:10:43Z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