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6"/>
        <w:ind w:firstLine="0" w:firstLineChars="0"/>
        <w:rPr>
          <w:rFonts w:hint="eastAsia" w:ascii="宋体" w:eastAsia="宋体"/>
          <w:color w:val="000000" w:themeColor="text1"/>
          <w:sz w:val="28"/>
          <w:highlight w:val="none"/>
          <w14:textFill>
            <w14:solidFill>
              <w14:schemeClr w14:val="tx1"/>
            </w14:solidFill>
          </w14:textFill>
        </w:rPr>
      </w:pPr>
    </w:p>
    <w:p>
      <w:pPr>
        <w:pStyle w:val="2"/>
        <w:spacing w:before="0" w:after="0" w:line="240" w:lineRule="auto"/>
        <w:jc w:val="both"/>
        <w:rPr>
          <w:rFonts w:hint="eastAsia" w:ascii="宋体" w:hAnsi="宋体"/>
          <w:color w:val="000000" w:themeColor="text1"/>
          <w:spacing w:val="20"/>
          <w:szCs w:val="44"/>
          <w:highlight w:val="none"/>
          <w14:textFill>
            <w14:solidFill>
              <w14:schemeClr w14:val="tx1"/>
            </w14:solidFill>
          </w14:textFill>
        </w:rPr>
      </w:pPr>
      <w:bookmarkStart w:id="0" w:name="_Toc510457666"/>
    </w:p>
    <w:p>
      <w:pPr>
        <w:pStyle w:val="2"/>
        <w:spacing w:before="0" w:after="0" w:line="240" w:lineRule="auto"/>
        <w:ind w:left="230" w:leftChars="115"/>
        <w:rPr>
          <w:rFonts w:hint="eastAsia" w:ascii="宋体" w:hAnsi="宋体"/>
          <w:color w:val="000000" w:themeColor="text1"/>
          <w:spacing w:val="20"/>
          <w:szCs w:val="44"/>
          <w:highlight w:val="none"/>
          <w14:textFill>
            <w14:solidFill>
              <w14:schemeClr w14:val="tx1"/>
            </w14:solidFill>
          </w14:textFill>
        </w:rPr>
      </w:pPr>
    </w:p>
    <w:p>
      <w:pPr>
        <w:pStyle w:val="2"/>
        <w:spacing w:before="0" w:after="0" w:line="240" w:lineRule="auto"/>
        <w:ind w:left="230" w:leftChars="115"/>
        <w:rPr>
          <w:rFonts w:hint="eastAsia" w:ascii="宋体" w:hAnsi="宋体"/>
          <w:color w:val="000000" w:themeColor="text1"/>
          <w:spacing w:val="20"/>
          <w:szCs w:val="44"/>
          <w:highlight w:val="none"/>
          <w14:textFill>
            <w14:solidFill>
              <w14:schemeClr w14:val="tx1"/>
            </w14:solidFill>
          </w14:textFill>
        </w:rPr>
      </w:pPr>
    </w:p>
    <w:p>
      <w:pPr>
        <w:pStyle w:val="2"/>
        <w:spacing w:before="0" w:after="0" w:line="240" w:lineRule="auto"/>
        <w:ind w:left="230" w:leftChars="115"/>
        <w:rPr>
          <w:rFonts w:hint="eastAsia" w:ascii="宋体" w:hAnsi="宋体"/>
          <w:color w:val="000000" w:themeColor="text1"/>
          <w:spacing w:val="20"/>
          <w:sz w:val="28"/>
          <w:szCs w:val="28"/>
          <w:highlight w:val="none"/>
          <w14:textFill>
            <w14:solidFill>
              <w14:schemeClr w14:val="tx1"/>
            </w14:solidFill>
          </w14:textFill>
        </w:rPr>
      </w:pPr>
      <w:r>
        <w:rPr>
          <w:rFonts w:hint="eastAsia" w:ascii="宋体" w:hAnsi="宋体"/>
          <w:color w:val="000000" w:themeColor="text1"/>
          <w:spacing w:val="20"/>
          <w:szCs w:val="44"/>
          <w:highlight w:val="none"/>
          <w14:textFill>
            <w14:solidFill>
              <w14:schemeClr w14:val="tx1"/>
            </w14:solidFill>
          </w14:textFill>
        </w:rPr>
        <w:t xml:space="preserve">第三部分 </w:t>
      </w:r>
      <w:r>
        <w:rPr>
          <w:rFonts w:hint="eastAsia" w:ascii="宋体" w:hAnsi="宋体"/>
          <w:color w:val="000000" w:themeColor="text1"/>
          <w:highlight w:val="none"/>
          <w14:textFill>
            <w14:solidFill>
              <w14:schemeClr w14:val="tx1"/>
            </w14:solidFill>
          </w14:textFill>
        </w:rPr>
        <w:t xml:space="preserve">  用户需求书</w:t>
      </w:r>
      <w:bookmarkEnd w:id="0"/>
    </w:p>
    <w:p>
      <w:pPr>
        <w:rPr>
          <w:rFonts w:hint="eastAsia" w:ascii="宋体" w:hAnsi="宋体"/>
          <w:color w:val="000000" w:themeColor="text1"/>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p>
    <w:p>
      <w:pPr>
        <w:spacing w:line="360" w:lineRule="auto"/>
        <w:rPr>
          <w:rFonts w:hint="eastAsia" w:ascii="宋体" w:hAnsi="宋体"/>
          <w:b/>
          <w:color w:val="000000" w:themeColor="text1"/>
          <w:sz w:val="30"/>
          <w:szCs w:val="30"/>
          <w:highlight w:val="none"/>
          <w14:textFill>
            <w14:solidFill>
              <w14:schemeClr w14:val="tx1"/>
            </w14:solidFill>
          </w14:textFill>
        </w:rPr>
      </w:pPr>
    </w:p>
    <w:p>
      <w:pPr>
        <w:spacing w:line="360" w:lineRule="auto"/>
        <w:jc w:val="center"/>
        <w:rPr>
          <w:rFonts w:hint="eastAsia" w:ascii="宋体" w:hAnsi="宋体"/>
          <w:b/>
          <w:color w:val="000000" w:themeColor="text1"/>
          <w:sz w:val="30"/>
          <w:szCs w:val="30"/>
          <w:highlight w:val="none"/>
          <w14:textFill>
            <w14:solidFill>
              <w14:schemeClr w14:val="tx1"/>
            </w14:solidFill>
          </w14:textFill>
        </w:rPr>
      </w:pPr>
      <w:bookmarkStart w:id="1" w:name="_GoBack"/>
      <w:bookmarkEnd w:id="1"/>
      <w:r>
        <w:rPr>
          <w:rFonts w:hint="eastAsia" w:ascii="宋体" w:hAnsi="宋体"/>
          <w:b/>
          <w:color w:val="000000" w:themeColor="text1"/>
          <w:sz w:val="30"/>
          <w:szCs w:val="30"/>
          <w:highlight w:val="none"/>
          <w14:textFill>
            <w14:solidFill>
              <w14:schemeClr w14:val="tx1"/>
            </w14:solidFill>
          </w14:textFill>
        </w:rPr>
        <w:t>用户需求书</w:t>
      </w:r>
    </w:p>
    <w:p>
      <w:pPr>
        <w:pStyle w:val="7"/>
        <w:keepNext w:val="0"/>
        <w:spacing w:after="0" w:line="440" w:lineRule="exact"/>
        <w:ind w:firstLine="442" w:firstLineChars="200"/>
        <w:rPr>
          <w:rFonts w:hint="eastAsia" w:ascii="宋体" w:hAnsi="宋体" w:cs="宋体"/>
          <w:b/>
          <w:bCs/>
          <w:color w:val="000000" w:themeColor="text1"/>
          <w:sz w:val="22"/>
          <w:szCs w:val="22"/>
          <w:highlight w:val="none"/>
          <w14:textFill>
            <w14:solidFill>
              <w14:schemeClr w14:val="tx1"/>
            </w14:solidFill>
          </w14:textFill>
        </w:rPr>
      </w:pPr>
    </w:p>
    <w:p>
      <w:pPr>
        <w:pStyle w:val="8"/>
        <w:numPr>
          <w:ilvl w:val="0"/>
          <w:numId w:val="1"/>
        </w:numPr>
        <w:spacing w:line="240" w:lineRule="auto"/>
        <w:ind w:firstLineChars="0"/>
        <w:jc w:val="left"/>
        <w:rPr>
          <w:rFonts w:hint="eastAsia"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项目概况</w:t>
      </w:r>
    </w:p>
    <w:p>
      <w:pPr>
        <w:snapToGrid w:val="0"/>
        <w:spacing w:line="360" w:lineRule="auto"/>
        <w:ind w:firstLine="480" w:firstLineChars="200"/>
        <w:jc w:val="left"/>
        <w:rPr>
          <w:rFonts w:hint="eastAsia"/>
          <w:color w:val="000000" w:themeColor="text1"/>
          <w:sz w:val="24"/>
          <w:highlight w:val="none"/>
          <w14:textFill>
            <w14:solidFill>
              <w14:schemeClr w14:val="tx1"/>
            </w14:solidFill>
          </w14:textFill>
        </w:rPr>
      </w:pPr>
    </w:p>
    <w:p>
      <w:pPr>
        <w:snapToGrid w:val="0"/>
        <w:spacing w:line="360" w:lineRule="auto"/>
        <w:ind w:firstLine="480" w:firstLineChars="200"/>
        <w:jc w:val="left"/>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为了将学校校舍建成最安全、最让家长放心的地方，我镇教育办于</w:t>
      </w:r>
      <w:r>
        <w:rPr>
          <w:color w:val="000000" w:themeColor="text1"/>
          <w:sz w:val="24"/>
          <w:highlight w:val="none"/>
          <w14:textFill>
            <w14:solidFill>
              <w14:schemeClr w14:val="tx1"/>
            </w14:solidFill>
          </w14:textFill>
        </w:rPr>
        <w:t>200</w:t>
      </w:r>
      <w:r>
        <w:rPr>
          <w:rFonts w:hint="eastAsia"/>
          <w:color w:val="000000" w:themeColor="text1"/>
          <w:sz w:val="24"/>
          <w:highlight w:val="none"/>
          <w14:textFill>
            <w14:solidFill>
              <w14:schemeClr w14:val="tx1"/>
            </w14:solidFill>
          </w14:textFill>
        </w:rPr>
        <w:t>9-2010年对全镇公办学校实施校安工程，分别做了房屋安全鉴定和房屋抗震鉴定，当年鉴定报告均未注明有限年限和已超过有限年限，导致现房屋结构状况不明，安全隐患突出。根据</w:t>
      </w:r>
      <w:r>
        <w:rPr>
          <w:color w:val="000000" w:themeColor="text1"/>
          <w:sz w:val="24"/>
          <w:highlight w:val="none"/>
          <w14:textFill>
            <w14:solidFill>
              <w14:schemeClr w14:val="tx1"/>
            </w14:solidFill>
          </w14:textFill>
        </w:rPr>
        <w:t>2016</w:t>
      </w:r>
      <w:r>
        <w:rPr>
          <w:rFonts w:hint="eastAsia"/>
          <w:color w:val="000000" w:themeColor="text1"/>
          <w:sz w:val="24"/>
          <w:highlight w:val="none"/>
          <w14:textFill>
            <w14:solidFill>
              <w14:schemeClr w14:val="tx1"/>
            </w14:solidFill>
          </w14:textFill>
        </w:rPr>
        <w:t>《东莞市房屋安全管理规定》（附件一）第二十六条规定，房屋安全鉴定报告为</w:t>
      </w:r>
      <w:r>
        <w:rPr>
          <w:color w:val="000000" w:themeColor="text1"/>
          <w:sz w:val="24"/>
          <w:highlight w:val="none"/>
          <w14:textFill>
            <w14:solidFill>
              <w14:schemeClr w14:val="tx1"/>
            </w14:solidFill>
          </w14:textFill>
        </w:rPr>
        <w:t>B</w:t>
      </w:r>
      <w:r>
        <w:rPr>
          <w:rFonts w:hint="eastAsia"/>
          <w:color w:val="000000" w:themeColor="text1"/>
          <w:sz w:val="24"/>
          <w:highlight w:val="none"/>
          <w14:textFill>
            <w14:solidFill>
              <w14:schemeClr w14:val="tx1"/>
            </w14:solidFill>
          </w14:textFill>
        </w:rPr>
        <w:t>级的，有效使用期限为</w:t>
      </w: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年。由于我镇于</w:t>
      </w:r>
      <w:r>
        <w:rPr>
          <w:color w:val="000000" w:themeColor="text1"/>
          <w:sz w:val="24"/>
          <w:highlight w:val="none"/>
          <w14:textFill>
            <w14:solidFill>
              <w14:schemeClr w14:val="tx1"/>
            </w14:solidFill>
          </w14:textFill>
        </w:rPr>
        <w:t>200</w:t>
      </w:r>
      <w:r>
        <w:rPr>
          <w:rFonts w:hint="eastAsia"/>
          <w:color w:val="000000" w:themeColor="text1"/>
          <w:sz w:val="24"/>
          <w:highlight w:val="none"/>
          <w14:textFill>
            <w14:solidFill>
              <w14:schemeClr w14:val="tx1"/>
            </w14:solidFill>
          </w14:textFill>
        </w:rPr>
        <w:t>9-2010年实施中小学校舍安全及抗震鉴定，对应</w:t>
      </w:r>
      <w:r>
        <w:rPr>
          <w:color w:val="000000" w:themeColor="text1"/>
          <w:sz w:val="24"/>
          <w:highlight w:val="none"/>
          <w14:textFill>
            <w14:solidFill>
              <w14:schemeClr w14:val="tx1"/>
            </w14:solidFill>
          </w14:textFill>
        </w:rPr>
        <w:t>2016</w:t>
      </w:r>
      <w:r>
        <w:rPr>
          <w:rFonts w:hint="eastAsia"/>
          <w:color w:val="000000" w:themeColor="text1"/>
          <w:sz w:val="24"/>
          <w:highlight w:val="none"/>
          <w14:textFill>
            <w14:solidFill>
              <w14:schemeClr w14:val="tx1"/>
            </w14:solidFill>
          </w14:textFill>
        </w:rPr>
        <w:t>年最新文件规定已过期。为确保师生安全，现我镇将开展新一轮的校舍安全及抗震鉴定。本项目建筑面积共</w:t>
      </w:r>
      <w:r>
        <w:rPr>
          <w:rFonts w:hint="eastAsia" w:ascii="宋体" w:hAnsi="宋体" w:cs="宋体"/>
          <w:b/>
          <w:bCs/>
          <w:color w:val="000000" w:themeColor="text1"/>
          <w:sz w:val="28"/>
          <w:szCs w:val="28"/>
          <w:highlight w:val="none"/>
          <w14:textFill>
            <w14:solidFill>
              <w14:schemeClr w14:val="tx1"/>
            </w14:solidFill>
          </w14:textFill>
        </w:rPr>
        <w:t>237391.72</w:t>
      </w:r>
      <w:r>
        <w:rPr>
          <w:rFonts w:hint="eastAsia"/>
          <w:color w:val="000000" w:themeColor="text1"/>
          <w:sz w:val="24"/>
          <w:highlight w:val="none"/>
          <w14:textFill>
            <w14:solidFill>
              <w14:schemeClr w14:val="tx1"/>
            </w14:solidFill>
          </w14:textFill>
        </w:rPr>
        <w:t>平方米（以实际为准），财政预算总金额</w:t>
      </w:r>
      <w:r>
        <w:rPr>
          <w:color w:val="000000" w:themeColor="text1"/>
          <w:sz w:val="24"/>
          <w:highlight w:val="none"/>
          <w14:textFill>
            <w14:solidFill>
              <w14:schemeClr w14:val="tx1"/>
            </w14:solidFill>
          </w14:textFill>
        </w:rPr>
        <w:t>1691,341.39</w:t>
      </w:r>
      <w:r>
        <w:rPr>
          <w:rFonts w:hint="eastAsia"/>
          <w:color w:val="000000" w:themeColor="text1"/>
          <w:sz w:val="24"/>
          <w:highlight w:val="none"/>
          <w14:textFill>
            <w14:solidFill>
              <w14:schemeClr w14:val="tx1"/>
            </w14:solidFill>
          </w14:textFill>
        </w:rPr>
        <w:t>元。</w:t>
      </w:r>
    </w:p>
    <w:p>
      <w:pPr>
        <w:snapToGrid w:val="0"/>
        <w:spacing w:line="360" w:lineRule="auto"/>
        <w:ind w:firstLine="480" w:firstLineChars="200"/>
        <w:jc w:val="left"/>
        <w:rPr>
          <w:color w:val="000000" w:themeColor="text1"/>
          <w:sz w:val="24"/>
          <w:highlight w:val="none"/>
          <w14:textFill>
            <w14:solidFill>
              <w14:schemeClr w14:val="tx1"/>
            </w14:solidFill>
          </w14:textFill>
        </w:rPr>
      </w:pPr>
    </w:p>
    <w:tbl>
      <w:tblPr>
        <w:tblStyle w:val="5"/>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2126"/>
        <w:gridCol w:w="3402"/>
        <w:gridCol w:w="2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序号</w:t>
            </w:r>
          </w:p>
        </w:tc>
        <w:tc>
          <w:tcPr>
            <w:tcW w:w="2126" w:type="dxa"/>
            <w:vAlign w:val="center"/>
          </w:tcPr>
          <w:p>
            <w:pPr>
              <w:pStyle w:val="8"/>
              <w:ind w:firstLine="0" w:firstLineChars="0"/>
              <w:jc w:val="center"/>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鉴定范围</w:t>
            </w:r>
          </w:p>
        </w:tc>
        <w:tc>
          <w:tcPr>
            <w:tcW w:w="3402" w:type="dxa"/>
            <w:vAlign w:val="center"/>
          </w:tcPr>
          <w:p>
            <w:pPr>
              <w:pStyle w:val="8"/>
              <w:ind w:firstLine="0" w:firstLineChars="0"/>
              <w:jc w:val="center"/>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鉴定内容</w:t>
            </w:r>
          </w:p>
        </w:tc>
        <w:tc>
          <w:tcPr>
            <w:tcW w:w="2278" w:type="dxa"/>
            <w:vAlign w:val="center"/>
          </w:tcPr>
          <w:p>
            <w:pPr>
              <w:pStyle w:val="8"/>
              <w:ind w:firstLine="0" w:firstLineChars="0"/>
              <w:jc w:val="center"/>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建筑面积（m2）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虎门三中</w:t>
            </w:r>
          </w:p>
        </w:tc>
        <w:tc>
          <w:tcPr>
            <w:tcW w:w="3402" w:type="dxa"/>
            <w:vAlign w:val="center"/>
          </w:tcPr>
          <w:p>
            <w:pPr>
              <w:pStyle w:val="8"/>
              <w:ind w:firstLine="0" w:firstLineChars="0"/>
              <w:jc w:val="center"/>
              <w:rPr>
                <w:rFonts w:hint="eastAsia" w:ascii="宋体" w:hAnsi="宋体"/>
                <w:b/>
                <w:color w:val="000000" w:themeColor="text1"/>
                <w:sz w:val="24"/>
                <w:szCs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39680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虎门四中</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16008.5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虎门五中</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39650.2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4</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中心小学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15907.5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5</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东方小学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11632.6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红旗小学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7</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太平小学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9016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8</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大宁小学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10338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9</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北栅小学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12722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10</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镇口小学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7541.5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11</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博涌小学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12</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威远小学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7705.34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13</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金洲小学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4861.8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14</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南栅小学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10973.28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15</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路东小学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7547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16</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沙角小学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12794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17</w:t>
            </w:r>
          </w:p>
        </w:tc>
        <w:tc>
          <w:tcPr>
            <w:tcW w:w="2126"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新湾小学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13485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18</w:t>
            </w: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龙眼小学</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房屋安全鉴定、抗震鉴定</w:t>
            </w:r>
          </w:p>
        </w:tc>
        <w:tc>
          <w:tcPr>
            <w:tcW w:w="2278" w:type="dxa"/>
            <w:vAlign w:val="center"/>
          </w:tcPr>
          <w:p>
            <w:pPr>
              <w:pStyle w:val="8"/>
              <w:ind w:firstLine="0" w:firstLineChars="0"/>
              <w:jc w:val="center"/>
              <w:rPr>
                <w:rFonts w:ascii="宋体" w:hAnsi="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9985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9"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p>
        </w:tc>
        <w:tc>
          <w:tcPr>
            <w:tcW w:w="2126" w:type="dxa"/>
            <w:vAlign w:val="center"/>
          </w:tcPr>
          <w:p>
            <w:pPr>
              <w:pStyle w:val="8"/>
              <w:ind w:firstLine="0" w:firstLineChars="0"/>
              <w:jc w:val="center"/>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总计</w:t>
            </w:r>
          </w:p>
        </w:tc>
        <w:tc>
          <w:tcPr>
            <w:tcW w:w="3402" w:type="dxa"/>
            <w:vAlign w:val="center"/>
          </w:tcPr>
          <w:p>
            <w:pPr>
              <w:pStyle w:val="8"/>
              <w:ind w:firstLine="0" w:firstLineChars="0"/>
              <w:jc w:val="center"/>
              <w:rPr>
                <w:rFonts w:hint="eastAsia" w:ascii="宋体" w:hAnsi="宋体"/>
                <w:color w:val="000000" w:themeColor="text1"/>
                <w:sz w:val="24"/>
                <w:highlight w:val="none"/>
                <w14:textFill>
                  <w14:solidFill>
                    <w14:schemeClr w14:val="tx1"/>
                  </w14:solidFill>
                </w14:textFill>
              </w:rPr>
            </w:pPr>
          </w:p>
        </w:tc>
        <w:tc>
          <w:tcPr>
            <w:tcW w:w="2278" w:type="dxa"/>
            <w:vAlign w:val="center"/>
          </w:tcPr>
          <w:p>
            <w:pPr>
              <w:pStyle w:val="8"/>
              <w:ind w:firstLine="0" w:firstLineChars="0"/>
              <w:jc w:val="center"/>
              <w:rPr>
                <w:rFonts w:hint="eastAsia"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237391.72</w:t>
            </w:r>
          </w:p>
        </w:tc>
      </w:tr>
    </w:tbl>
    <w:p>
      <w:pPr>
        <w:pStyle w:val="8"/>
        <w:ind w:firstLineChars="0"/>
        <w:jc w:val="left"/>
        <w:rPr>
          <w:rFonts w:hint="eastAsia" w:ascii="宋体" w:hAnsi="宋体"/>
          <w:b/>
          <w:color w:val="000000" w:themeColor="text1"/>
          <w:sz w:val="24"/>
          <w:szCs w:val="24"/>
          <w:highlight w:val="none"/>
          <w14:textFill>
            <w14:solidFill>
              <w14:schemeClr w14:val="tx1"/>
            </w14:solidFill>
          </w14:textFill>
        </w:rPr>
      </w:pPr>
    </w:p>
    <w:p>
      <w:pPr>
        <w:tabs>
          <w:tab w:val="left" w:pos="567"/>
        </w:tabs>
        <w:spacing w:line="360" w:lineRule="auto"/>
        <w:rPr>
          <w:b/>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二、</w:t>
      </w:r>
      <w:r>
        <w:rPr>
          <w:rFonts w:hint="eastAsia"/>
          <w:b/>
          <w:color w:val="000000" w:themeColor="text1"/>
          <w:sz w:val="24"/>
          <w:highlight w:val="none"/>
          <w14:textFill>
            <w14:solidFill>
              <w14:schemeClr w14:val="tx1"/>
            </w14:solidFill>
          </w14:textFill>
        </w:rPr>
        <w:t>鉴定要求，鉴定质量要求与标准</w:t>
      </w:r>
    </w:p>
    <w:p>
      <w:pPr>
        <w:tabs>
          <w:tab w:val="left" w:pos="567"/>
        </w:tabs>
        <w:spacing w:line="360" w:lineRule="auto"/>
        <w:ind w:firstLine="556" w:firstLineChars="232"/>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fldChar w:fldCharType="begin"/>
      </w:r>
      <w:r>
        <w:rPr>
          <w:color w:val="000000" w:themeColor="text1"/>
          <w:sz w:val="24"/>
          <w:highlight w:val="none"/>
          <w14:textFill>
            <w14:solidFill>
              <w14:schemeClr w14:val="tx1"/>
            </w14:solidFill>
          </w14:textFill>
        </w:rPr>
        <w:instrText xml:space="preserve"> = 1 \* GB2 </w:instrText>
      </w:r>
      <w:r>
        <w:rPr>
          <w:color w:val="000000" w:themeColor="text1"/>
          <w:sz w:val="24"/>
          <w:highlight w:val="none"/>
          <w14:textFill>
            <w14:solidFill>
              <w14:schemeClr w14:val="tx1"/>
            </w14:solidFill>
          </w14:textFill>
        </w:rPr>
        <w:fldChar w:fldCharType="separate"/>
      </w:r>
      <w:r>
        <w:rPr>
          <w:rFonts w:hint="eastAsia" w:ascii="宋体" w:hAnsi="宋体" w:cs="宋体"/>
          <w:color w:val="000000" w:themeColor="text1"/>
          <w:sz w:val="24"/>
          <w:highlight w:val="none"/>
          <w14:textFill>
            <w14:solidFill>
              <w14:schemeClr w14:val="tx1"/>
            </w14:solidFill>
          </w14:textFill>
        </w:rPr>
        <w:t>⑴</w:t>
      </w:r>
      <w:r>
        <w:rPr>
          <w:color w:val="000000" w:themeColor="text1"/>
          <w:sz w:val="24"/>
          <w:highlight w:val="none"/>
          <w14:textFill>
            <w14:solidFill>
              <w14:schemeClr w14:val="tx1"/>
            </w14:solidFill>
          </w14:textFill>
        </w:rPr>
        <w:fldChar w:fldCharType="end"/>
      </w:r>
      <w:r>
        <w:rPr>
          <w:rFonts w:hint="eastAsia"/>
          <w:color w:val="000000" w:themeColor="text1"/>
          <w:sz w:val="24"/>
          <w:highlight w:val="none"/>
          <w14:textFill>
            <w14:solidFill>
              <w14:schemeClr w14:val="tx1"/>
            </w14:solidFill>
          </w14:textFill>
        </w:rPr>
        <w:t>《东莞市房屋使用安全管理规定》（广东省东莞市人民政府第</w:t>
      </w:r>
      <w:r>
        <w:rPr>
          <w:color w:val="000000" w:themeColor="text1"/>
          <w:sz w:val="24"/>
          <w:highlight w:val="none"/>
          <w14:textFill>
            <w14:solidFill>
              <w14:schemeClr w14:val="tx1"/>
            </w14:solidFill>
          </w14:textFill>
        </w:rPr>
        <w:t>144</w:t>
      </w:r>
      <w:r>
        <w:rPr>
          <w:rFonts w:hint="eastAsia"/>
          <w:color w:val="000000" w:themeColor="text1"/>
          <w:sz w:val="24"/>
          <w:highlight w:val="none"/>
          <w14:textFill>
            <w14:solidFill>
              <w14:schemeClr w14:val="tx1"/>
            </w14:solidFill>
          </w14:textFill>
        </w:rPr>
        <w:t>号）</w:t>
      </w:r>
    </w:p>
    <w:p>
      <w:pPr>
        <w:tabs>
          <w:tab w:val="left" w:pos="567"/>
        </w:tabs>
        <w:spacing w:line="360" w:lineRule="auto"/>
        <w:ind w:firstLine="556" w:firstLineChars="232"/>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⑵</w:t>
      </w:r>
      <w:r>
        <w:rPr>
          <w:rFonts w:hint="eastAsia"/>
          <w:color w:val="000000" w:themeColor="text1"/>
          <w:sz w:val="24"/>
          <w:highlight w:val="none"/>
          <w14:textFill>
            <w14:solidFill>
              <w14:schemeClr w14:val="tx1"/>
            </w14:solidFill>
          </w14:textFill>
        </w:rPr>
        <w:t>《工业建筑可靠性鉴定标准》（</w:t>
      </w:r>
      <w:r>
        <w:rPr>
          <w:color w:val="000000" w:themeColor="text1"/>
          <w:sz w:val="24"/>
          <w:highlight w:val="none"/>
          <w14:textFill>
            <w14:solidFill>
              <w14:schemeClr w14:val="tx1"/>
            </w14:solidFill>
          </w14:textFill>
        </w:rPr>
        <w:t>GB50144-2008</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56" w:firstLineChars="232"/>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⑶</w:t>
      </w:r>
      <w:r>
        <w:rPr>
          <w:rFonts w:hint="eastAsia"/>
          <w:color w:val="000000" w:themeColor="text1"/>
          <w:sz w:val="24"/>
          <w:highlight w:val="none"/>
          <w14:textFill>
            <w14:solidFill>
              <w14:schemeClr w14:val="tx1"/>
            </w14:solidFill>
          </w14:textFill>
        </w:rPr>
        <w:t>《民用建筑可靠性鉴定标准》（</w:t>
      </w:r>
      <w:r>
        <w:rPr>
          <w:color w:val="000000" w:themeColor="text1"/>
          <w:sz w:val="24"/>
          <w:highlight w:val="none"/>
          <w14:textFill>
            <w14:solidFill>
              <w14:schemeClr w14:val="tx1"/>
            </w14:solidFill>
          </w14:textFill>
        </w:rPr>
        <w:t>GB50292-2015</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⑷</w:t>
      </w:r>
      <w:r>
        <w:rPr>
          <w:rFonts w:hint="eastAsia"/>
          <w:color w:val="000000" w:themeColor="text1"/>
          <w:sz w:val="24"/>
          <w:highlight w:val="none"/>
          <w14:textFill>
            <w14:solidFill>
              <w14:schemeClr w14:val="tx1"/>
            </w14:solidFill>
          </w14:textFill>
        </w:rPr>
        <w:t>《建筑地基基础设计规范》（</w:t>
      </w:r>
      <w:r>
        <w:rPr>
          <w:color w:val="000000" w:themeColor="text1"/>
          <w:sz w:val="24"/>
          <w:highlight w:val="none"/>
          <w14:textFill>
            <w14:solidFill>
              <w14:schemeClr w14:val="tx1"/>
            </w14:solidFill>
          </w14:textFill>
        </w:rPr>
        <w:t>GB50007-2011</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⑸</w:t>
      </w:r>
      <w:r>
        <w:rPr>
          <w:rFonts w:hint="eastAsia"/>
          <w:color w:val="000000" w:themeColor="text1"/>
          <w:sz w:val="24"/>
          <w:highlight w:val="none"/>
          <w14:textFill>
            <w14:solidFill>
              <w14:schemeClr w14:val="tx1"/>
            </w14:solidFill>
          </w14:textFill>
        </w:rPr>
        <w:t>《建筑结构荷载规范》（</w:t>
      </w:r>
      <w:r>
        <w:rPr>
          <w:color w:val="000000" w:themeColor="text1"/>
          <w:sz w:val="24"/>
          <w:highlight w:val="none"/>
          <w14:textFill>
            <w14:solidFill>
              <w14:schemeClr w14:val="tx1"/>
            </w14:solidFill>
          </w14:textFill>
        </w:rPr>
        <w:t>GB50009-2012</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⑹</w:t>
      </w:r>
      <w:r>
        <w:rPr>
          <w:rFonts w:hint="eastAsia"/>
          <w:color w:val="000000" w:themeColor="text1"/>
          <w:sz w:val="24"/>
          <w:highlight w:val="none"/>
          <w14:textFill>
            <w14:solidFill>
              <w14:schemeClr w14:val="tx1"/>
            </w14:solidFill>
          </w14:textFill>
        </w:rPr>
        <w:t>《建筑结构检测技术标准》（</w:t>
      </w:r>
      <w:r>
        <w:rPr>
          <w:color w:val="000000" w:themeColor="text1"/>
          <w:sz w:val="24"/>
          <w:highlight w:val="none"/>
          <w14:textFill>
            <w14:solidFill>
              <w14:schemeClr w14:val="tx1"/>
            </w14:solidFill>
          </w14:textFill>
        </w:rPr>
        <w:t>GB/T50344-2004</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⑺</w:t>
      </w:r>
      <w:r>
        <w:rPr>
          <w:rFonts w:hint="eastAsia"/>
          <w:color w:val="000000" w:themeColor="text1"/>
          <w:sz w:val="24"/>
          <w:highlight w:val="none"/>
          <w14:textFill>
            <w14:solidFill>
              <w14:schemeClr w14:val="tx1"/>
            </w14:solidFill>
          </w14:textFill>
        </w:rPr>
        <w:t>《建筑工程质量检验评定标准》（</w:t>
      </w:r>
      <w:r>
        <w:rPr>
          <w:color w:val="000000" w:themeColor="text1"/>
          <w:sz w:val="24"/>
          <w:highlight w:val="none"/>
          <w14:textFill>
            <w14:solidFill>
              <w14:schemeClr w14:val="tx1"/>
            </w14:solidFill>
          </w14:textFill>
        </w:rPr>
        <w:t>GBJ301-88</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⑻</w:t>
      </w:r>
      <w:r>
        <w:rPr>
          <w:rFonts w:hint="eastAsia"/>
          <w:color w:val="000000" w:themeColor="text1"/>
          <w:sz w:val="24"/>
          <w:highlight w:val="none"/>
          <w14:textFill>
            <w14:solidFill>
              <w14:schemeClr w14:val="tx1"/>
            </w14:solidFill>
          </w14:textFill>
        </w:rPr>
        <w:t>《混凝土结构设计规范》（</w:t>
      </w:r>
      <w:r>
        <w:rPr>
          <w:color w:val="000000" w:themeColor="text1"/>
          <w:sz w:val="24"/>
          <w:highlight w:val="none"/>
          <w14:textFill>
            <w14:solidFill>
              <w14:schemeClr w14:val="tx1"/>
            </w14:solidFill>
          </w14:textFill>
        </w:rPr>
        <w:t>GB50010-2010</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⑼</w:t>
      </w:r>
      <w:r>
        <w:rPr>
          <w:rFonts w:hint="eastAsia"/>
          <w:color w:val="000000" w:themeColor="text1"/>
          <w:sz w:val="24"/>
          <w:highlight w:val="none"/>
          <w14:textFill>
            <w14:solidFill>
              <w14:schemeClr w14:val="tx1"/>
            </w14:solidFill>
          </w14:textFill>
        </w:rPr>
        <w:t>《混凝土结构工程施工质量验收规范》（</w:t>
      </w:r>
      <w:r>
        <w:rPr>
          <w:color w:val="000000" w:themeColor="text1"/>
          <w:sz w:val="24"/>
          <w:highlight w:val="none"/>
          <w14:textFill>
            <w14:solidFill>
              <w14:schemeClr w14:val="tx1"/>
            </w14:solidFill>
          </w14:textFill>
        </w:rPr>
        <w:t>GB50204-02</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⑽</w:t>
      </w:r>
      <w:r>
        <w:rPr>
          <w:rFonts w:hint="eastAsia"/>
          <w:color w:val="000000" w:themeColor="text1"/>
          <w:sz w:val="24"/>
          <w:highlight w:val="none"/>
          <w14:textFill>
            <w14:solidFill>
              <w14:schemeClr w14:val="tx1"/>
            </w14:solidFill>
          </w14:textFill>
        </w:rPr>
        <w:t>《钻芯法检测混凝土强度技术规程》（</w:t>
      </w:r>
      <w:r>
        <w:rPr>
          <w:color w:val="000000" w:themeColor="text1"/>
          <w:sz w:val="24"/>
          <w:highlight w:val="none"/>
          <w14:textFill>
            <w14:solidFill>
              <w14:schemeClr w14:val="tx1"/>
            </w14:solidFill>
          </w14:textFill>
        </w:rPr>
        <w:t>CECS 03</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2007</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⑾</w:t>
      </w:r>
      <w:r>
        <w:rPr>
          <w:rFonts w:hint="eastAsia"/>
          <w:color w:val="000000" w:themeColor="text1"/>
          <w:sz w:val="24"/>
          <w:highlight w:val="none"/>
          <w14:textFill>
            <w14:solidFill>
              <w14:schemeClr w14:val="tx1"/>
            </w14:solidFill>
          </w14:textFill>
        </w:rPr>
        <w:t>《建筑抗震设计规范》（</w:t>
      </w:r>
      <w:r>
        <w:rPr>
          <w:color w:val="000000" w:themeColor="text1"/>
          <w:sz w:val="24"/>
          <w:highlight w:val="none"/>
          <w14:textFill>
            <w14:solidFill>
              <w14:schemeClr w14:val="tx1"/>
            </w14:solidFill>
          </w14:textFill>
        </w:rPr>
        <w:t>GB50011-2011</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⑿</w:t>
      </w:r>
      <w:r>
        <w:rPr>
          <w:rFonts w:hint="eastAsia"/>
          <w:color w:val="000000" w:themeColor="text1"/>
          <w:sz w:val="24"/>
          <w:highlight w:val="none"/>
          <w14:textFill>
            <w14:solidFill>
              <w14:schemeClr w14:val="tx1"/>
            </w14:solidFill>
          </w14:textFill>
        </w:rPr>
        <w:t>《建筑抗震鉴定标准》（</w:t>
      </w:r>
      <w:r>
        <w:rPr>
          <w:color w:val="000000" w:themeColor="text1"/>
          <w:sz w:val="24"/>
          <w:highlight w:val="none"/>
          <w14:textFill>
            <w14:solidFill>
              <w14:schemeClr w14:val="tx1"/>
            </w14:solidFill>
          </w14:textFill>
        </w:rPr>
        <w:t>GB50023-2009</w:t>
      </w:r>
      <w:r>
        <w:rPr>
          <w:rFonts w:hint="eastAsia"/>
          <w:color w:val="000000" w:themeColor="text1"/>
          <w:sz w:val="24"/>
          <w:highlight w:val="none"/>
          <w14:textFill>
            <w14:solidFill>
              <w14:schemeClr w14:val="tx1"/>
            </w14:solidFill>
          </w14:textFill>
        </w:rPr>
        <w:t>）；</w:t>
      </w:r>
    </w:p>
    <w:p>
      <w:pPr>
        <w:tabs>
          <w:tab w:val="left" w:pos="567"/>
        </w:tabs>
        <w:spacing w:line="360" w:lineRule="auto"/>
        <w:ind w:firstLine="567"/>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⒀</w:t>
      </w:r>
      <w:r>
        <w:rPr>
          <w:rFonts w:hint="eastAsia"/>
          <w:color w:val="000000" w:themeColor="text1"/>
          <w:sz w:val="24"/>
          <w:highlight w:val="none"/>
          <w14:textFill>
            <w14:solidFill>
              <w14:schemeClr w14:val="tx1"/>
            </w14:solidFill>
          </w14:textFill>
        </w:rPr>
        <w:t>《混凝土结构加固设计规范》</w:t>
      </w:r>
      <w:r>
        <w:rPr>
          <w:color w:val="000000" w:themeColor="text1"/>
          <w:sz w:val="24"/>
          <w:highlight w:val="none"/>
          <w14:textFill>
            <w14:solidFill>
              <w14:schemeClr w14:val="tx1"/>
            </w14:solidFill>
          </w14:textFill>
        </w:rPr>
        <w:t>(GB50367-2006)</w:t>
      </w:r>
      <w:r>
        <w:rPr>
          <w:rFonts w:hint="eastAsia"/>
          <w:color w:val="000000" w:themeColor="text1"/>
          <w:sz w:val="24"/>
          <w:highlight w:val="none"/>
          <w14:textFill>
            <w14:solidFill>
              <w14:schemeClr w14:val="tx1"/>
            </w14:solidFill>
          </w14:textFill>
        </w:rPr>
        <w:t>；</w:t>
      </w:r>
    </w:p>
    <w:p>
      <w:pPr>
        <w:snapToGrid w:val="0"/>
        <w:spacing w:line="360" w:lineRule="auto"/>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fldChar w:fldCharType="begin"/>
      </w:r>
      <w:r>
        <w:rPr>
          <w:color w:val="000000" w:themeColor="text1"/>
          <w:sz w:val="24"/>
          <w:highlight w:val="none"/>
          <w14:textFill>
            <w14:solidFill>
              <w14:schemeClr w14:val="tx1"/>
            </w14:solidFill>
          </w14:textFill>
        </w:rPr>
        <w:instrText xml:space="preserve"> = 14 \* GB2 </w:instrText>
      </w:r>
      <w:r>
        <w:rPr>
          <w:color w:val="000000" w:themeColor="text1"/>
          <w:sz w:val="24"/>
          <w:highlight w:val="none"/>
          <w14:textFill>
            <w14:solidFill>
              <w14:schemeClr w14:val="tx1"/>
            </w14:solidFill>
          </w14:textFill>
        </w:rPr>
        <w:fldChar w:fldCharType="separate"/>
      </w:r>
      <w:r>
        <w:rPr>
          <w:rFonts w:hint="eastAsia" w:ascii="宋体" w:hAnsi="宋体" w:cs="宋体"/>
          <w:color w:val="000000" w:themeColor="text1"/>
          <w:sz w:val="24"/>
          <w:highlight w:val="none"/>
          <w14:textFill>
            <w14:solidFill>
              <w14:schemeClr w14:val="tx1"/>
            </w14:solidFill>
          </w14:textFill>
        </w:rPr>
        <w:t>⒁</w:t>
      </w:r>
      <w:r>
        <w:rPr>
          <w:color w:val="000000" w:themeColor="text1"/>
          <w:sz w:val="24"/>
          <w:highlight w:val="none"/>
          <w14:textFill>
            <w14:solidFill>
              <w14:schemeClr w14:val="tx1"/>
            </w14:solidFill>
          </w14:textFill>
        </w:rPr>
        <w:fldChar w:fldCharType="end"/>
      </w:r>
      <w:r>
        <w:rPr>
          <w:rFonts w:hint="eastAsia"/>
          <w:color w:val="000000" w:themeColor="text1"/>
          <w:sz w:val="24"/>
          <w:highlight w:val="none"/>
          <w14:textFill>
            <w14:solidFill>
              <w14:schemeClr w14:val="tx1"/>
            </w14:solidFill>
          </w14:textFill>
        </w:rPr>
        <w:t>《建筑结构可靠度设计统一标准》（</w:t>
      </w:r>
      <w:r>
        <w:rPr>
          <w:color w:val="000000" w:themeColor="text1"/>
          <w:sz w:val="24"/>
          <w:highlight w:val="none"/>
          <w14:textFill>
            <w14:solidFill>
              <w14:schemeClr w14:val="tx1"/>
            </w14:solidFill>
          </w14:textFill>
        </w:rPr>
        <w:t>GB50068-2001</w:t>
      </w:r>
      <w:r>
        <w:rPr>
          <w:rFonts w:hint="eastAsia"/>
          <w:color w:val="000000" w:themeColor="text1"/>
          <w:sz w:val="24"/>
          <w:highlight w:val="none"/>
          <w14:textFill>
            <w14:solidFill>
              <w14:schemeClr w14:val="tx1"/>
            </w14:solidFill>
          </w14:textFill>
        </w:rPr>
        <w:t>）；</w:t>
      </w:r>
    </w:p>
    <w:p>
      <w:pPr>
        <w:tabs>
          <w:tab w:val="left" w:pos="567"/>
        </w:tabs>
        <w:spacing w:line="360" w:lineRule="auto"/>
        <w:rPr>
          <w:rFonts w:hint="eastAsia"/>
          <w:b/>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三、</w:t>
      </w:r>
      <w:r>
        <w:rPr>
          <w:rFonts w:hint="eastAsia"/>
          <w:b/>
          <w:color w:val="000000" w:themeColor="text1"/>
          <w:sz w:val="24"/>
          <w:highlight w:val="none"/>
          <w14:textFill>
            <w14:solidFill>
              <w14:schemeClr w14:val="tx1"/>
            </w14:solidFill>
          </w14:textFill>
        </w:rPr>
        <w:t>鉴定成果要求</w:t>
      </w:r>
    </w:p>
    <w:p>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1．中标人应向业主提交最终成果的房屋安全及抗震鉴定报告每栋楼不少于3本及电子档（光盘）。如非业主原因符合要求的还应提供市住建局的备案告知凭证。</w:t>
      </w:r>
    </w:p>
    <w:p>
      <w:pPr>
        <w:tabs>
          <w:tab w:val="left" w:pos="567"/>
        </w:tabs>
        <w:spacing w:line="360" w:lineRule="auto"/>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四、工期要求</w:t>
      </w:r>
    </w:p>
    <w:p>
      <w:pPr>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合同签订后，在采购人提供最新的相关资料起60天内完成。</w:t>
      </w:r>
    </w:p>
    <w:p>
      <w:pPr>
        <w:tabs>
          <w:tab w:val="left" w:pos="567"/>
        </w:tabs>
        <w:spacing w:line="360" w:lineRule="auto"/>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五.付款方式</w:t>
      </w:r>
    </w:p>
    <w:p>
      <w:pPr>
        <w:adjustRightInd w:val="0"/>
        <w:snapToGrid w:val="0"/>
        <w:spacing w:line="360" w:lineRule="auto"/>
        <w:ind w:left="420" w:firstLine="6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合同签订后按进度付款：</w:t>
      </w:r>
    </w:p>
    <w:p>
      <w:pPr>
        <w:adjustRightInd w:val="0"/>
        <w:snapToGrid w:val="0"/>
        <w:spacing w:line="360" w:lineRule="auto"/>
        <w:ind w:firstLine="42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（1）完成房屋安全及抗震鉴定报告后支付合同总额的70％；</w:t>
      </w:r>
    </w:p>
    <w:p>
      <w:pPr>
        <w:adjustRightInd w:val="0"/>
        <w:snapToGrid w:val="0"/>
        <w:spacing w:line="360" w:lineRule="auto"/>
        <w:ind w:firstLine="42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（2）项目成果通过有关部门审批后支付合同总额的30％；</w:t>
      </w:r>
    </w:p>
    <w:p>
      <w:pPr>
        <w:tabs>
          <w:tab w:val="left" w:pos="567"/>
        </w:tabs>
        <w:spacing w:line="360" w:lineRule="auto"/>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六、项目详细清单</w:t>
      </w:r>
    </w:p>
    <w:tbl>
      <w:tblPr>
        <w:tblStyle w:val="5"/>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67"/>
        <w:gridCol w:w="1576"/>
        <w:gridCol w:w="1311"/>
        <w:gridCol w:w="1438"/>
        <w:gridCol w:w="1359"/>
        <w:gridCol w:w="108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675" w:type="dxa"/>
            <w:vAlign w:val="center"/>
          </w:tcPr>
          <w:p>
            <w:pPr>
              <w:tabs>
                <w:tab w:val="left" w:pos="567"/>
              </w:tabs>
              <w:jc w:val="left"/>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序号</w:t>
            </w:r>
          </w:p>
        </w:tc>
        <w:tc>
          <w:tcPr>
            <w:tcW w:w="1167"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学校</w:t>
            </w:r>
          </w:p>
        </w:tc>
        <w:tc>
          <w:tcPr>
            <w:tcW w:w="1576"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房屋名称</w:t>
            </w:r>
          </w:p>
        </w:tc>
        <w:tc>
          <w:tcPr>
            <w:tcW w:w="1311"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建筑竣工年月</w:t>
            </w:r>
          </w:p>
        </w:tc>
        <w:tc>
          <w:tcPr>
            <w:tcW w:w="1438"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建筑面积（m2）</w:t>
            </w:r>
          </w:p>
        </w:tc>
        <w:tc>
          <w:tcPr>
            <w:tcW w:w="1359"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单价（元/m2）</w:t>
            </w:r>
          </w:p>
        </w:tc>
        <w:tc>
          <w:tcPr>
            <w:tcW w:w="1087"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合计（元）</w:t>
            </w:r>
          </w:p>
        </w:tc>
        <w:tc>
          <w:tcPr>
            <w:tcW w:w="709" w:type="dxa"/>
            <w:vAlign w:val="center"/>
          </w:tcPr>
          <w:p>
            <w:pPr>
              <w:tabs>
                <w:tab w:val="left" w:pos="567"/>
              </w:tabs>
              <w:jc w:val="center"/>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w:t>
            </w:r>
          </w:p>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虎</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门</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三</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中</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教学楼1</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8460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教学楼2</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7277</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办公楼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4880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大门楼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162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宿舍楼1</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3152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宿舍楼2</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3152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宿舍楼3</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5535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宿舍楼4</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7062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虎</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门</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四</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中</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4215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1410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1313</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885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2217.5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1083</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2244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10号楼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2030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11号楼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611</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虎</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门</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五</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中</w:t>
            </w: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一期教学楼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2003.04</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9347</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二期教学楼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2004.06</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8130.2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三期教学楼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2006.01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5296.2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学生餐厅、宿舍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2004.08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8372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教工宿舍A栋</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2004.07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2598.4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教工宿舍B栋</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2004.07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5648.4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电房</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2005.01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158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消防汞房</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2005.01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100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w:t>
            </w:r>
          </w:p>
        </w:tc>
        <w:tc>
          <w:tcPr>
            <w:tcW w:w="1167" w:type="dxa"/>
            <w:vMerge w:val="restart"/>
            <w:vAlign w:val="center"/>
          </w:tcPr>
          <w:p>
            <w:pPr>
              <w:tabs>
                <w:tab w:val="left" w:pos="567"/>
              </w:tabs>
              <w:spacing w:line="360" w:lineRule="auto"/>
              <w:ind w:firstLine="200" w:firstLineChars="100"/>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中</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心</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教学楼一</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3990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教学楼四</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1979.1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1215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科学馆</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4702.5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青年宿舍楼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1260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新教工宿舍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1999.1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3347</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图书馆</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1991.1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1309</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门卫室</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2002.3</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东</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方</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center"/>
          </w:tcPr>
          <w:p>
            <w:pPr>
              <w:tabs>
                <w:tab w:val="left" w:pos="567"/>
              </w:tabs>
              <w:spacing w:line="276"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教学楼（一）</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276"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教学楼（二）</w:t>
            </w:r>
          </w:p>
          <w:p>
            <w:pPr>
              <w:tabs>
                <w:tab w:val="left" w:pos="567"/>
              </w:tabs>
              <w:spacing w:line="276"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fldChar w:fldCharType="begin"/>
            </w:r>
            <w:r>
              <w:rPr>
                <w:rFonts w:ascii="宋体" w:hAnsi="宋体"/>
                <w:color w:val="000000" w:themeColor="text1"/>
                <w:highlight w:val="none"/>
                <w14:textFill>
                  <w14:solidFill>
                    <w14:schemeClr w14:val="tx1"/>
                  </w14:solidFill>
                </w14:textFill>
              </w:rPr>
              <w:instrText xml:space="preserve"> </w:instrText>
            </w:r>
            <w:r>
              <w:rPr>
                <w:rFonts w:hint="eastAsia" w:ascii="宋体" w:hAnsi="宋体"/>
                <w:color w:val="000000" w:themeColor="text1"/>
                <w:highlight w:val="none"/>
                <w14:textFill>
                  <w14:solidFill>
                    <w14:schemeClr w14:val="tx1"/>
                  </w14:solidFill>
                </w14:textFill>
              </w:rPr>
              <w:instrText xml:space="preserve">= 1 \* ROMAN</w:instrText>
            </w:r>
            <w:r>
              <w:rPr>
                <w:rFonts w:ascii="宋体" w:hAnsi="宋体"/>
                <w:color w:val="000000" w:themeColor="text1"/>
                <w:highlight w:val="none"/>
                <w14:textFill>
                  <w14:solidFill>
                    <w14:schemeClr w14:val="tx1"/>
                  </w14:solidFill>
                </w14:textFill>
              </w:rPr>
              <w:instrText xml:space="preserve"> </w:instrText>
            </w:r>
            <w:r>
              <w:rPr>
                <w:rFonts w:ascii="宋体" w:hAnsi="宋体"/>
                <w:color w:val="000000" w:themeColor="text1"/>
                <w:highlight w:val="none"/>
                <w14:textFill>
                  <w14:solidFill>
                    <w14:schemeClr w14:val="tx1"/>
                  </w14:solidFill>
                </w14:textFill>
              </w:rPr>
              <w:fldChar w:fldCharType="separate"/>
            </w:r>
            <w:r>
              <w:rPr>
                <w:rFonts w:ascii="宋体" w:hAnsi="宋体"/>
                <w:color w:val="000000" w:themeColor="text1"/>
                <w:highlight w:val="none"/>
                <w14:textFill>
                  <w14:solidFill>
                    <w14:schemeClr w14:val="tx1"/>
                  </w14:solidFill>
                </w14:textFill>
              </w:rPr>
              <w:t>I</w:t>
            </w:r>
            <w:r>
              <w:rPr>
                <w:rFonts w:ascii="宋体" w:hAnsi="宋体"/>
                <w:color w:val="000000" w:themeColor="text1"/>
                <w:highlight w:val="none"/>
                <w14:textFill>
                  <w14:solidFill>
                    <w14:schemeClr w14:val="tx1"/>
                  </w14:solidFill>
                </w14:textFill>
              </w:rPr>
              <w:fldChar w:fldCharType="end"/>
            </w:r>
            <w:r>
              <w:rPr>
                <w:rFonts w:hint="eastAsia" w:ascii="宋体" w:hAnsi="宋体"/>
                <w:color w:val="000000" w:themeColor="text1"/>
                <w:highlight w:val="none"/>
                <w14:textFill>
                  <w14:solidFill>
                    <w14:schemeClr w14:val="tx1"/>
                  </w14:solidFill>
                </w14:textFill>
              </w:rPr>
              <w:t>区</w:t>
            </w:r>
          </w:p>
        </w:tc>
        <w:tc>
          <w:tcPr>
            <w:tcW w:w="1311" w:type="dxa"/>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2000</w:t>
            </w:r>
          </w:p>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5345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276"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教学楼（二）</w:t>
            </w:r>
          </w:p>
          <w:p>
            <w:pPr>
              <w:tabs>
                <w:tab w:val="left" w:pos="567"/>
              </w:tabs>
              <w:spacing w:line="276"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fldChar w:fldCharType="begin"/>
            </w:r>
            <w:r>
              <w:rPr>
                <w:rFonts w:ascii="宋体" w:hAnsi="宋体"/>
                <w:color w:val="000000" w:themeColor="text1"/>
                <w:highlight w:val="none"/>
                <w14:textFill>
                  <w14:solidFill>
                    <w14:schemeClr w14:val="tx1"/>
                  </w14:solidFill>
                </w14:textFill>
              </w:rPr>
              <w:instrText xml:space="preserve"> </w:instrText>
            </w:r>
            <w:r>
              <w:rPr>
                <w:rFonts w:hint="eastAsia" w:ascii="宋体" w:hAnsi="宋体"/>
                <w:color w:val="000000" w:themeColor="text1"/>
                <w:highlight w:val="none"/>
                <w14:textFill>
                  <w14:solidFill>
                    <w14:schemeClr w14:val="tx1"/>
                  </w14:solidFill>
                </w14:textFill>
              </w:rPr>
              <w:instrText xml:space="preserve">= 2 \* ROMAN</w:instrText>
            </w:r>
            <w:r>
              <w:rPr>
                <w:rFonts w:ascii="宋体" w:hAnsi="宋体"/>
                <w:color w:val="000000" w:themeColor="text1"/>
                <w:highlight w:val="none"/>
                <w14:textFill>
                  <w14:solidFill>
                    <w14:schemeClr w14:val="tx1"/>
                  </w14:solidFill>
                </w14:textFill>
              </w:rPr>
              <w:instrText xml:space="preserve"> </w:instrText>
            </w:r>
            <w:r>
              <w:rPr>
                <w:rFonts w:ascii="宋体" w:hAnsi="宋体"/>
                <w:color w:val="000000" w:themeColor="text1"/>
                <w:highlight w:val="none"/>
                <w14:textFill>
                  <w14:solidFill>
                    <w14:schemeClr w14:val="tx1"/>
                  </w14:solidFill>
                </w14:textFill>
              </w:rPr>
              <w:fldChar w:fldCharType="separate"/>
            </w:r>
            <w:r>
              <w:rPr>
                <w:rFonts w:ascii="宋体" w:hAnsi="宋体"/>
                <w:color w:val="000000" w:themeColor="text1"/>
                <w:highlight w:val="none"/>
                <w14:textFill>
                  <w14:solidFill>
                    <w14:schemeClr w14:val="tx1"/>
                  </w14:solidFill>
                </w14:textFill>
              </w:rPr>
              <w:t>II</w:t>
            </w:r>
            <w:r>
              <w:rPr>
                <w:rFonts w:ascii="宋体" w:hAnsi="宋体"/>
                <w:color w:val="000000" w:themeColor="text1"/>
                <w:highlight w:val="none"/>
                <w14:textFill>
                  <w14:solidFill>
                    <w14:schemeClr w14:val="tx1"/>
                  </w14:solidFill>
                </w14:textFill>
              </w:rPr>
              <w:fldChar w:fldCharType="end"/>
            </w:r>
            <w:r>
              <w:rPr>
                <w:rFonts w:hint="eastAsia" w:ascii="宋体" w:hAnsi="宋体"/>
                <w:color w:val="000000" w:themeColor="text1"/>
                <w:highlight w:val="none"/>
                <w14:textFill>
                  <w14:solidFill>
                    <w14:schemeClr w14:val="tx1"/>
                  </w14:solidFill>
                </w14:textFill>
              </w:rPr>
              <w:t>区</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1323</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276"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教学楼（三）</w:t>
            </w:r>
          </w:p>
        </w:tc>
        <w:tc>
          <w:tcPr>
            <w:tcW w:w="1311" w:type="dxa"/>
            <w:vAlign w:val="center"/>
          </w:tcPr>
          <w:p>
            <w:pPr>
              <w:tabs>
                <w:tab w:val="left" w:pos="567"/>
              </w:tabs>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1.区域1-9xA-D为二十世纪30年代的建筑物；</w:t>
            </w:r>
          </w:p>
          <w:p>
            <w:pPr>
              <w:tabs>
                <w:tab w:val="left" w:pos="567"/>
              </w:tabs>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2.区域5-9</w:t>
            </w:r>
            <w:r>
              <w:rPr>
                <w:rFonts w:ascii="宋体" w:hAnsi="宋体"/>
                <w:color w:val="000000" w:themeColor="text1"/>
                <w:highlight w:val="none"/>
                <w14:textFill>
                  <w14:solidFill>
                    <w14:schemeClr w14:val="tx1"/>
                  </w14:solidFill>
                </w14:textFill>
              </w:rPr>
              <w:t>XD-E</w:t>
            </w:r>
            <w:r>
              <w:rPr>
                <w:rFonts w:hint="eastAsia" w:ascii="宋体" w:hAnsi="宋体"/>
                <w:color w:val="000000" w:themeColor="text1"/>
                <w:highlight w:val="none"/>
                <w14:textFill>
                  <w14:solidFill>
                    <w14:schemeClr w14:val="tx1"/>
                  </w14:solidFill>
                </w14:textFill>
              </w:rPr>
              <w:t>为2000年的建筑物</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591</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教工之家</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2001.11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905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新宿舍楼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2001.11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1806.6</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职工宿舍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298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红旗</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北楼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993</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928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综合办公楼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3758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太</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平</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一号教学楼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1993</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1510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二号教学楼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1986</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1257</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三号教学楼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2190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四号教学楼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不详</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1640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教师宿舍A座</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1986</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1024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教师宿舍B座</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1996</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1130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276"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附楼</w:t>
            </w:r>
          </w:p>
          <w:p>
            <w:pPr>
              <w:tabs>
                <w:tab w:val="left" w:pos="567"/>
              </w:tabs>
              <w:spacing w:line="276"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（二号楼西）</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2006</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276"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门卫室（连门楼）及门卫宿舍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大</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宁</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1987.2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1070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1117</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礼堂</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1996.2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795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3号教学楼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1576</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1号宿舍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1762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2号宿舍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2006.02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1392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综合楼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2000</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2626</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9</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北栅</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6182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综合楼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4568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体育馆</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1997.8</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1972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10</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博涌</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1987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741</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1124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镇口</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1993.9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5291.5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综合楼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2005.9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2250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威远</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2003.2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5343.84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2003.9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2037.5</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表演舞台</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2003.2</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324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金州</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1991.9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2965.1</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电教楼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2002.9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746.7</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教室宿舍楼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1999.9</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1150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14</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南栅</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2000.7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8631.28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2000.7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2342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15</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路东</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旧教学楼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2863</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科教楼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2001.11</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3540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1144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16</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沙</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角</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1996.7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5658</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体育馆</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2004.5</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3650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汽车库楼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2000.6</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274</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宿舍楼1</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1996.7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1606</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宿舍楼2</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1996.7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1606</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17</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新</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湾</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1997.7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6570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功能楼</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2009.7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3682</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教室宿舍1</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1998.7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2040</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教室宿舍2</w:t>
            </w:r>
          </w:p>
        </w:tc>
        <w:tc>
          <w:tcPr>
            <w:tcW w:w="1311"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1998.7</w:t>
            </w:r>
          </w:p>
        </w:tc>
        <w:tc>
          <w:tcPr>
            <w:tcW w:w="1438"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1193</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18</w:t>
            </w:r>
          </w:p>
        </w:tc>
        <w:tc>
          <w:tcPr>
            <w:tcW w:w="1167" w:type="dxa"/>
            <w:vMerge w:val="restart"/>
            <w:vAlign w:val="center"/>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龙</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眼</w:t>
            </w:r>
          </w:p>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w:t>
            </w:r>
          </w:p>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学</w:t>
            </w:r>
          </w:p>
        </w:tc>
        <w:tc>
          <w:tcPr>
            <w:tcW w:w="1576" w:type="dxa"/>
            <w:vAlign w:val="top"/>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教学楼</w:t>
            </w:r>
          </w:p>
        </w:tc>
        <w:tc>
          <w:tcPr>
            <w:tcW w:w="1311"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1991.7</w:t>
            </w:r>
          </w:p>
        </w:tc>
        <w:tc>
          <w:tcPr>
            <w:tcW w:w="1438"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3069</w:t>
            </w:r>
          </w:p>
        </w:tc>
        <w:tc>
          <w:tcPr>
            <w:tcW w:w="1359" w:type="dxa"/>
            <w:vAlign w:val="center"/>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1087"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c>
          <w:tcPr>
            <w:tcW w:w="709"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b/>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576" w:type="dxa"/>
            <w:vAlign w:val="top"/>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功能楼</w:t>
            </w:r>
          </w:p>
        </w:tc>
        <w:tc>
          <w:tcPr>
            <w:tcW w:w="1311"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1997.8</w:t>
            </w:r>
          </w:p>
        </w:tc>
        <w:tc>
          <w:tcPr>
            <w:tcW w:w="1438"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3276</w:t>
            </w:r>
          </w:p>
        </w:tc>
        <w:tc>
          <w:tcPr>
            <w:tcW w:w="1359"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087" w:type="dxa"/>
            <w:vAlign w:val="top"/>
          </w:tcPr>
          <w:p>
            <w:pPr>
              <w:tabs>
                <w:tab w:val="left" w:pos="567"/>
              </w:tabs>
              <w:spacing w:line="360" w:lineRule="auto"/>
              <w:rPr>
                <w:b/>
                <w:color w:val="000000" w:themeColor="text1"/>
                <w:highlight w:val="none"/>
                <w14:textFill>
                  <w14:solidFill>
                    <w14:schemeClr w14:val="tx1"/>
                  </w14:solidFill>
                </w14:textFill>
              </w:rPr>
            </w:pPr>
          </w:p>
        </w:tc>
        <w:tc>
          <w:tcPr>
            <w:tcW w:w="709" w:type="dxa"/>
            <w:vAlign w:val="top"/>
          </w:tcPr>
          <w:p>
            <w:pPr>
              <w:tabs>
                <w:tab w:val="left" w:pos="567"/>
              </w:tabs>
              <w:spacing w:line="360" w:lineRule="auto"/>
              <w:rPr>
                <w:b/>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b/>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576" w:type="dxa"/>
            <w:vAlign w:val="top"/>
          </w:tcPr>
          <w:p>
            <w:pPr>
              <w:tabs>
                <w:tab w:val="left" w:pos="567"/>
              </w:tabs>
              <w:spacing w:line="360" w:lineRule="auto"/>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体育馆</w:t>
            </w:r>
          </w:p>
        </w:tc>
        <w:tc>
          <w:tcPr>
            <w:tcW w:w="1311"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1991.7</w:t>
            </w:r>
          </w:p>
        </w:tc>
        <w:tc>
          <w:tcPr>
            <w:tcW w:w="1438"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968</w:t>
            </w:r>
          </w:p>
        </w:tc>
        <w:tc>
          <w:tcPr>
            <w:tcW w:w="1359"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087" w:type="dxa"/>
            <w:vAlign w:val="top"/>
          </w:tcPr>
          <w:p>
            <w:pPr>
              <w:tabs>
                <w:tab w:val="left" w:pos="567"/>
              </w:tabs>
              <w:spacing w:line="360" w:lineRule="auto"/>
              <w:rPr>
                <w:b/>
                <w:color w:val="000000" w:themeColor="text1"/>
                <w:highlight w:val="none"/>
                <w14:textFill>
                  <w14:solidFill>
                    <w14:schemeClr w14:val="tx1"/>
                  </w14:solidFill>
                </w14:textFill>
              </w:rPr>
            </w:pPr>
          </w:p>
        </w:tc>
        <w:tc>
          <w:tcPr>
            <w:tcW w:w="709" w:type="dxa"/>
            <w:vAlign w:val="top"/>
          </w:tcPr>
          <w:p>
            <w:pPr>
              <w:tabs>
                <w:tab w:val="left" w:pos="567"/>
              </w:tabs>
              <w:spacing w:line="360" w:lineRule="auto"/>
              <w:rPr>
                <w:b/>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center"/>
          </w:tcPr>
          <w:p>
            <w:pPr>
              <w:tabs>
                <w:tab w:val="left" w:pos="567"/>
              </w:tabs>
              <w:spacing w:line="360" w:lineRule="auto"/>
              <w:jc w:val="center"/>
              <w:rPr>
                <w:rFonts w:hint="eastAsia" w:ascii="宋体" w:hAnsi="宋体"/>
                <w:b/>
                <w:color w:val="000000" w:themeColor="text1"/>
                <w:highlight w:val="none"/>
                <w14:textFill>
                  <w14:solidFill>
                    <w14:schemeClr w14:val="tx1"/>
                  </w14:solidFill>
                </w14:textFill>
              </w:rPr>
            </w:pPr>
          </w:p>
        </w:tc>
        <w:tc>
          <w:tcPr>
            <w:tcW w:w="1167" w:type="dxa"/>
            <w:vMerge w:val="continue"/>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576"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宿舍楼</w:t>
            </w:r>
          </w:p>
        </w:tc>
        <w:tc>
          <w:tcPr>
            <w:tcW w:w="1311"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1994.12</w:t>
            </w:r>
          </w:p>
        </w:tc>
        <w:tc>
          <w:tcPr>
            <w:tcW w:w="1438" w:type="dxa"/>
            <w:vAlign w:val="top"/>
          </w:tcPr>
          <w:p>
            <w:pPr>
              <w:tabs>
                <w:tab w:val="left" w:pos="567"/>
              </w:tabs>
              <w:spacing w:line="360" w:lineRule="auto"/>
              <w:jc w:val="cente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2672</w:t>
            </w:r>
          </w:p>
        </w:tc>
        <w:tc>
          <w:tcPr>
            <w:tcW w:w="1359"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087" w:type="dxa"/>
            <w:vAlign w:val="top"/>
          </w:tcPr>
          <w:p>
            <w:pPr>
              <w:tabs>
                <w:tab w:val="left" w:pos="567"/>
              </w:tabs>
              <w:spacing w:line="360" w:lineRule="auto"/>
              <w:rPr>
                <w:b/>
                <w:color w:val="000000" w:themeColor="text1"/>
                <w:highlight w:val="none"/>
                <w14:textFill>
                  <w14:solidFill>
                    <w14:schemeClr w14:val="tx1"/>
                  </w14:solidFill>
                </w14:textFill>
              </w:rPr>
            </w:pPr>
          </w:p>
        </w:tc>
        <w:tc>
          <w:tcPr>
            <w:tcW w:w="709" w:type="dxa"/>
            <w:vAlign w:val="top"/>
          </w:tcPr>
          <w:p>
            <w:pPr>
              <w:tabs>
                <w:tab w:val="left" w:pos="567"/>
              </w:tabs>
              <w:spacing w:line="360" w:lineRule="auto"/>
              <w:rPr>
                <w:b/>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tabs>
                <w:tab w:val="left" w:pos="567"/>
              </w:tabs>
              <w:spacing w:line="360" w:lineRule="auto"/>
              <w:jc w:val="center"/>
              <w:rPr>
                <w:rFonts w:hint="eastAsia"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合计</w:t>
            </w:r>
          </w:p>
        </w:tc>
        <w:tc>
          <w:tcPr>
            <w:tcW w:w="1167"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576"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311"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438"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r>
              <w:rPr>
                <w:rFonts w:ascii="宋体" w:hAnsi="宋体"/>
                <w:b/>
                <w:color w:val="000000" w:themeColor="text1"/>
                <w:highlight w:val="none"/>
                <w14:textFill>
                  <w14:solidFill>
                    <w14:schemeClr w14:val="tx1"/>
                  </w14:solidFill>
                </w14:textFill>
              </w:rPr>
              <w:t>237,391.72</w:t>
            </w:r>
          </w:p>
        </w:tc>
        <w:tc>
          <w:tcPr>
            <w:tcW w:w="1359" w:type="dxa"/>
            <w:vAlign w:val="center"/>
          </w:tcPr>
          <w:p>
            <w:pPr>
              <w:tabs>
                <w:tab w:val="left" w:pos="567"/>
              </w:tabs>
              <w:spacing w:line="360" w:lineRule="auto"/>
              <w:jc w:val="center"/>
              <w:rPr>
                <w:rFonts w:ascii="宋体" w:hAnsi="宋体"/>
                <w:b/>
                <w:color w:val="000000" w:themeColor="text1"/>
                <w:highlight w:val="none"/>
                <w14:textFill>
                  <w14:solidFill>
                    <w14:schemeClr w14:val="tx1"/>
                  </w14:solidFill>
                </w14:textFill>
              </w:rPr>
            </w:pPr>
          </w:p>
        </w:tc>
        <w:tc>
          <w:tcPr>
            <w:tcW w:w="1087" w:type="dxa"/>
            <w:vAlign w:val="top"/>
          </w:tcPr>
          <w:p>
            <w:pPr>
              <w:tabs>
                <w:tab w:val="left" w:pos="567"/>
              </w:tabs>
              <w:spacing w:line="360" w:lineRule="auto"/>
              <w:rPr>
                <w:b/>
                <w:color w:val="000000" w:themeColor="text1"/>
                <w:highlight w:val="none"/>
                <w14:textFill>
                  <w14:solidFill>
                    <w14:schemeClr w14:val="tx1"/>
                  </w14:solidFill>
                </w14:textFill>
              </w:rPr>
            </w:pPr>
          </w:p>
        </w:tc>
        <w:tc>
          <w:tcPr>
            <w:tcW w:w="709" w:type="dxa"/>
            <w:vAlign w:val="top"/>
          </w:tcPr>
          <w:p>
            <w:pPr>
              <w:tabs>
                <w:tab w:val="left" w:pos="567"/>
              </w:tabs>
              <w:spacing w:line="360" w:lineRule="auto"/>
              <w:rPr>
                <w:b/>
                <w:color w:val="000000" w:themeColor="text1"/>
                <w:highlight w:val="none"/>
                <w14:textFill>
                  <w14:solidFill>
                    <w14:schemeClr w14:val="tx1"/>
                  </w14:solidFill>
                </w14:textFill>
              </w:rPr>
            </w:pPr>
          </w:p>
        </w:tc>
      </w:tr>
    </w:tbl>
    <w:p>
      <w:pPr>
        <w:pStyle w:val="7"/>
        <w:keepNext w:val="0"/>
        <w:spacing w:after="0" w:line="440" w:lineRule="exact"/>
        <w:rPr>
          <w:rFonts w:hint="eastAsia" w:ascii="宋体" w:hAnsi="宋体" w:cs="宋体"/>
          <w:b/>
          <w:bCs/>
          <w:color w:val="000000" w:themeColor="text1"/>
          <w:sz w:val="22"/>
          <w:szCs w:val="22"/>
          <w:highlight w:val="none"/>
          <w14:textFill>
            <w14:solidFill>
              <w14:schemeClr w14:val="tx1"/>
            </w14:solidFill>
          </w14:textFill>
        </w:rPr>
      </w:pPr>
    </w:p>
    <w:p>
      <w:pPr>
        <w:pStyle w:val="7"/>
        <w:keepNext w:val="0"/>
        <w:spacing w:after="0" w:line="440" w:lineRule="exact"/>
        <w:ind w:firstLine="442" w:firstLineChars="200"/>
        <w:rPr>
          <w:rFonts w:hint="eastAsia"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sz w:val="22"/>
          <w:szCs w:val="22"/>
          <w:highlight w:val="none"/>
          <w14:textFill>
            <w14:solidFill>
              <w14:schemeClr w14:val="tx1"/>
            </w14:solidFill>
          </w14:textFill>
        </w:rPr>
        <w:t>以上数据仅供参考，具体以实际为准。</w:t>
      </w:r>
    </w:p>
    <w:p>
      <w:pPr>
        <w:pStyle w:val="7"/>
        <w:keepNext w:val="0"/>
        <w:spacing w:after="0" w:line="440" w:lineRule="exact"/>
        <w:ind w:firstLine="442" w:firstLineChars="200"/>
        <w:rPr>
          <w:rFonts w:hint="eastAsia" w:ascii="宋体" w:hAnsi="宋体" w:cs="宋体"/>
          <w:b/>
          <w:bCs/>
          <w:color w:val="000000" w:themeColor="text1"/>
          <w:sz w:val="22"/>
          <w:szCs w:val="22"/>
          <w:highlight w:val="none"/>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6935EA"/>
    <w:multiLevelType w:val="multilevel"/>
    <w:tmpl w:val="356935E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474DF5"/>
    <w:rsid w:val="41474DF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paragraph" w:styleId="2">
    <w:name w:val="heading 2"/>
    <w:basedOn w:val="1"/>
    <w:next w:val="1"/>
    <w:qFormat/>
    <w:uiPriority w:val="0"/>
    <w:pPr>
      <w:keepNext/>
      <w:keepLines/>
      <w:spacing w:before="260" w:after="260" w:line="1200" w:lineRule="exact"/>
      <w:jc w:val="center"/>
      <w:outlineLvl w:val="1"/>
    </w:pPr>
    <w:rPr>
      <w:rFonts w:ascii="Arial" w:hAnsi="Arial"/>
      <w:b/>
      <w:kern w:val="2"/>
      <w:sz w:val="44"/>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uiPriority w:val="0"/>
    <w:pPr>
      <w:spacing w:after="120"/>
    </w:pPr>
    <w:rPr>
      <w:kern w:val="2"/>
      <w:sz w:val="21"/>
    </w:rPr>
  </w:style>
  <w:style w:type="paragraph" w:customStyle="1" w:styleId="6">
    <w:name w:val="正文缩进2格"/>
    <w:basedOn w:val="1"/>
    <w:qFormat/>
    <w:uiPriority w:val="0"/>
    <w:pPr>
      <w:spacing w:line="600" w:lineRule="exact"/>
      <w:ind w:firstLine="639" w:firstLineChars="206"/>
    </w:pPr>
    <w:rPr>
      <w:rFonts w:ascii="仿宋_GB2312" w:hAnsi="宋体" w:eastAsia="仿宋_GB2312"/>
      <w:kern w:val="2"/>
      <w:sz w:val="31"/>
    </w:rPr>
  </w:style>
  <w:style w:type="paragraph" w:customStyle="1" w:styleId="7">
    <w:name w:val="保留正文"/>
    <w:basedOn w:val="3"/>
    <w:qFormat/>
    <w:uiPriority w:val="0"/>
    <w:pPr>
      <w:keepNext/>
      <w:spacing w:after="160"/>
    </w:pPr>
    <w:rPr>
      <w:szCs w:val="20"/>
    </w:rPr>
  </w:style>
  <w:style w:type="paragraph" w:styleId="8">
    <w:name w:val="List Paragraph"/>
    <w:basedOn w:val="1"/>
    <w:qFormat/>
    <w:uiPriority w:val="0"/>
    <w:pPr>
      <w:spacing w:line="360" w:lineRule="auto"/>
      <w:ind w:firstLine="420" w:firstLineChars="200"/>
    </w:pPr>
    <w:rPr>
      <w:rFonts w:ascii="Calibri" w:hAnsi="Calibri"/>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2018-06-05T02:25:00Z</dcterms:created>
  <dc:creator>Administrator</dc:creator>
  <cp:lastModifiedBy>Administrator</cp:lastModifiedBy>
  <dcterms:modified xsi:type="dcterms:W3CDTF">2018-06-05T02:25:36Z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