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sz w:val="41"/>
        </w:rPr>
      </w:pPr>
      <w:r>
        <w:rPr>
          <w:rFonts w:hint="eastAsia"/>
          <w:b/>
          <w:sz w:val="41"/>
        </w:rPr>
        <w:t>用户需求书</w:t>
      </w:r>
    </w:p>
    <w:p>
      <w:pPr>
        <w:spacing w:line="360" w:lineRule="auto"/>
        <w:rPr>
          <w:rFonts w:ascii="仿宋_GB2312" w:hAnsi="仿宋" w:eastAsia="仿宋_GB2312"/>
          <w:b/>
          <w:sz w:val="32"/>
          <w:szCs w:val="32"/>
        </w:rPr>
      </w:pPr>
      <w:r>
        <w:rPr>
          <w:rFonts w:hint="eastAsia" w:ascii="仿宋_GB2312" w:hAnsi="仿宋" w:eastAsia="仿宋_GB2312"/>
          <w:b/>
          <w:sz w:val="32"/>
          <w:szCs w:val="32"/>
        </w:rPr>
        <w:t>一、项目概况</w:t>
      </w:r>
    </w:p>
    <w:p>
      <w:pPr>
        <w:ind w:firstLine="560" w:firstLineChars="200"/>
        <w:rPr>
          <w:rFonts w:ascii="仿宋_GB2312" w:hAnsi="宋体" w:eastAsia="仿宋_GB2312"/>
          <w:sz w:val="28"/>
          <w:szCs w:val="28"/>
        </w:rPr>
      </w:pPr>
      <w:r>
        <w:rPr>
          <w:rFonts w:hint="eastAsia" w:ascii="仿宋_GB2312" w:hAnsi="宋体" w:eastAsia="仿宋_GB2312"/>
          <w:sz w:val="28"/>
          <w:szCs w:val="28"/>
        </w:rPr>
        <w:t>1、项目名称：东莞市道滘镇安老院</w:t>
      </w:r>
      <w:r>
        <w:rPr>
          <w:rFonts w:hint="eastAsia" w:ascii="仿宋_GB2312" w:hAnsi="宋体" w:eastAsia="仿宋_GB2312"/>
          <w:sz w:val="28"/>
          <w:szCs w:val="28"/>
          <w:lang w:eastAsia="zh-CN"/>
        </w:rPr>
        <w:t>加固设计</w:t>
      </w:r>
      <w:r>
        <w:rPr>
          <w:rFonts w:hint="eastAsia" w:ascii="仿宋_GB2312" w:hAnsi="宋体" w:eastAsia="仿宋_GB2312"/>
          <w:sz w:val="28"/>
          <w:szCs w:val="28"/>
        </w:rPr>
        <w:t>服务采购项目。</w:t>
      </w:r>
    </w:p>
    <w:p>
      <w:pPr>
        <w:ind w:firstLine="560" w:firstLineChars="200"/>
        <w:rPr>
          <w:rFonts w:ascii="仿宋_GB2312" w:hAnsi="宋体" w:eastAsia="仿宋_GB2312"/>
          <w:sz w:val="28"/>
          <w:szCs w:val="28"/>
        </w:rPr>
      </w:pPr>
      <w:r>
        <w:rPr>
          <w:rFonts w:hint="eastAsia" w:ascii="仿宋_GB2312" w:hAnsi="宋体" w:eastAsia="仿宋_GB2312"/>
          <w:sz w:val="28"/>
          <w:szCs w:val="28"/>
        </w:rPr>
        <w:t>2、项目构成：建筑物位于东莞市道滘镇，本次招标项目</w:t>
      </w:r>
      <w:r>
        <w:rPr>
          <w:rFonts w:hint="eastAsia" w:ascii="仿宋_GB2312" w:hAnsi="宋体" w:eastAsia="仿宋_GB2312"/>
          <w:sz w:val="28"/>
          <w:szCs w:val="28"/>
          <w:lang w:eastAsia="zh-CN"/>
        </w:rPr>
        <w:t>包含有</w:t>
      </w:r>
      <w:r>
        <w:rPr>
          <w:rFonts w:hint="eastAsia" w:ascii="仿宋_GB2312" w:hAnsi="宋体" w:eastAsia="仿宋_GB2312"/>
          <w:sz w:val="28"/>
          <w:szCs w:val="28"/>
        </w:rPr>
        <w:t>5栋建筑物</w:t>
      </w:r>
      <w:r>
        <w:rPr>
          <w:rFonts w:hint="eastAsia" w:ascii="仿宋_GB2312" w:hAnsi="宋体" w:eastAsia="仿宋_GB2312"/>
          <w:sz w:val="28"/>
          <w:szCs w:val="28"/>
          <w:lang w:val="en-US" w:eastAsia="zh-CN"/>
        </w:rPr>
        <w:t>,有两栋是2层建筑物，有三栋为4层建筑物，建筑高度</w:t>
      </w:r>
      <w:r>
        <w:rPr>
          <w:rFonts w:hint="eastAsia" w:ascii="仿宋_GB2312" w:hAnsi="仿宋_GB2312" w:eastAsia="仿宋_GB2312" w:cs="仿宋_GB2312"/>
          <w:sz w:val="28"/>
          <w:szCs w:val="28"/>
          <w:lang w:val="en-US" w:eastAsia="zh-CN"/>
        </w:rPr>
        <w:t>&lt;24米，</w:t>
      </w:r>
      <w:r>
        <w:rPr>
          <w:rFonts w:hint="eastAsia" w:ascii="仿宋_GB2312" w:hAnsi="宋体" w:eastAsia="仿宋_GB2312"/>
          <w:sz w:val="28"/>
          <w:szCs w:val="28"/>
        </w:rPr>
        <w:t>须进行</w:t>
      </w:r>
      <w:r>
        <w:rPr>
          <w:rFonts w:hint="eastAsia" w:ascii="仿宋_GB2312" w:hAnsi="宋体" w:eastAsia="仿宋_GB2312"/>
          <w:sz w:val="28"/>
          <w:szCs w:val="28"/>
          <w:lang w:eastAsia="zh-CN"/>
        </w:rPr>
        <w:t>加固设计</w:t>
      </w:r>
      <w:r>
        <w:rPr>
          <w:rFonts w:hint="eastAsia" w:ascii="仿宋_GB2312" w:hAnsi="宋体" w:eastAsia="仿宋_GB2312"/>
          <w:sz w:val="28"/>
          <w:szCs w:val="28"/>
        </w:rPr>
        <w:t>服务，</w:t>
      </w:r>
      <w:r>
        <w:rPr>
          <w:rFonts w:hint="eastAsia" w:ascii="仿宋_GB2312" w:hAnsi="宋体" w:eastAsia="仿宋_GB2312"/>
          <w:sz w:val="28"/>
          <w:szCs w:val="28"/>
          <w:lang w:eastAsia="zh-CN"/>
        </w:rPr>
        <w:t>总</w:t>
      </w:r>
      <w:r>
        <w:rPr>
          <w:rFonts w:hint="eastAsia" w:ascii="仿宋_GB2312" w:hAnsi="宋体" w:eastAsia="仿宋_GB2312"/>
          <w:sz w:val="28"/>
          <w:szCs w:val="28"/>
        </w:rPr>
        <w:t>建筑面积合计约7</w:t>
      </w:r>
      <w:r>
        <w:rPr>
          <w:rFonts w:hint="eastAsia" w:ascii="仿宋_GB2312" w:hAnsi="宋体" w:eastAsia="仿宋_GB2312"/>
          <w:sz w:val="28"/>
          <w:szCs w:val="28"/>
          <w:lang w:val="en-US" w:eastAsia="zh-CN"/>
        </w:rPr>
        <w:t>74</w:t>
      </w:r>
      <w:r>
        <w:rPr>
          <w:rFonts w:hint="eastAsia" w:ascii="仿宋_GB2312" w:hAnsi="宋体" w:eastAsia="仿宋_GB2312"/>
          <w:sz w:val="28"/>
          <w:szCs w:val="28"/>
        </w:rPr>
        <w:t>0平方米；</w:t>
      </w:r>
    </w:p>
    <w:p>
      <w:pPr>
        <w:ind w:firstLine="560" w:firstLineChars="200"/>
        <w:rPr>
          <w:rFonts w:ascii="仿宋_GB2312" w:hAnsi="宋体" w:eastAsia="仿宋_GB2312"/>
          <w:sz w:val="28"/>
          <w:szCs w:val="28"/>
        </w:rPr>
      </w:pPr>
      <w:r>
        <w:rPr>
          <w:rFonts w:hint="eastAsia" w:ascii="仿宋_GB2312" w:hAnsi="宋体" w:eastAsia="仿宋_GB2312"/>
          <w:sz w:val="28"/>
          <w:szCs w:val="28"/>
        </w:rPr>
        <w:t>3、采购单位：东莞市道滘镇人民政府重点工程办公室</w:t>
      </w:r>
    </w:p>
    <w:p>
      <w:pPr>
        <w:spacing w:line="360" w:lineRule="auto"/>
        <w:rPr>
          <w:rFonts w:ascii="仿宋_GB2312" w:hAnsi="仿宋" w:eastAsia="仿宋_GB2312"/>
          <w:b/>
          <w:sz w:val="32"/>
          <w:szCs w:val="32"/>
        </w:rPr>
      </w:pPr>
      <w:r>
        <w:rPr>
          <w:rFonts w:hint="eastAsia" w:ascii="仿宋_GB2312" w:hAnsi="仿宋" w:eastAsia="仿宋_GB2312"/>
          <w:b/>
          <w:sz w:val="32"/>
          <w:szCs w:val="32"/>
        </w:rPr>
        <w:t>二、服务范围</w:t>
      </w:r>
    </w:p>
    <w:p>
      <w:pPr>
        <w:ind w:firstLine="560" w:firstLineChars="200"/>
        <w:rPr>
          <w:rFonts w:ascii="仿宋_GB2312" w:hAnsi="宋体" w:eastAsia="仿宋_GB2312"/>
          <w:sz w:val="28"/>
          <w:szCs w:val="28"/>
          <w:lang w:val="en-US"/>
        </w:rPr>
      </w:pPr>
      <w:r>
        <w:rPr>
          <w:rFonts w:hint="eastAsia" w:ascii="仿宋_GB2312" w:hAnsi="宋体" w:eastAsia="仿宋_GB2312"/>
          <w:sz w:val="28"/>
          <w:szCs w:val="28"/>
          <w:lang w:eastAsia="zh-CN"/>
        </w:rPr>
        <w:t>项目中五栋旧建筑物，根据房屋鉴定报告，现状结构的结构安全性评定为</w:t>
      </w:r>
      <w:r>
        <w:rPr>
          <w:rFonts w:hint="eastAsia" w:ascii="仿宋_GB2312" w:hAnsi="宋体" w:eastAsia="仿宋_GB2312"/>
          <w:sz w:val="28"/>
          <w:szCs w:val="28"/>
          <w:lang w:val="en-US" w:eastAsia="zh-CN"/>
        </w:rPr>
        <w:t>C</w:t>
      </w:r>
      <w:r>
        <w:rPr>
          <w:rFonts w:hint="eastAsia" w:ascii="仿宋_GB2312" w:hAnsi="宋体" w:eastAsia="仿宋_GB2312"/>
          <w:sz w:val="28"/>
          <w:szCs w:val="28"/>
          <w:vertAlign w:val="subscript"/>
          <w:lang w:val="en-US" w:eastAsia="zh-CN"/>
        </w:rPr>
        <w:t>SU</w:t>
      </w:r>
      <w:r>
        <w:rPr>
          <w:rFonts w:hint="eastAsia" w:ascii="仿宋_GB2312" w:hAnsi="宋体" w:eastAsia="仿宋_GB2312"/>
          <w:sz w:val="28"/>
          <w:szCs w:val="28"/>
          <w:vertAlign w:val="baseline"/>
          <w:lang w:val="en-US" w:eastAsia="zh-CN"/>
        </w:rPr>
        <w:t>级，不满足结构使用安全要求，对不满足安全使用要求的构件进行加固，达到作为安老院的使用要求，本次招标范围为对该5栋建筑物进行加固设计。</w:t>
      </w:r>
    </w:p>
    <w:p>
      <w:pPr>
        <w:spacing w:line="360" w:lineRule="auto"/>
        <w:rPr>
          <w:rFonts w:ascii="仿宋_GB2312" w:hAnsi="仿宋" w:eastAsia="仿宋_GB2312"/>
          <w:b/>
          <w:sz w:val="32"/>
          <w:szCs w:val="32"/>
        </w:rPr>
      </w:pPr>
      <w:r>
        <w:rPr>
          <w:rFonts w:hint="eastAsia" w:ascii="仿宋_GB2312" w:hAnsi="仿宋" w:eastAsia="仿宋_GB2312"/>
          <w:b/>
          <w:sz w:val="32"/>
          <w:szCs w:val="32"/>
        </w:rPr>
        <w:t>三、服务要求</w:t>
      </w:r>
    </w:p>
    <w:p>
      <w:pPr>
        <w:ind w:firstLine="560" w:firstLineChars="200"/>
        <w:rPr>
          <w:rFonts w:hint="eastAsia" w:ascii="仿宋_GB2312" w:hAnsi="宋体" w:eastAsia="仿宋_GB2312"/>
          <w:sz w:val="28"/>
          <w:szCs w:val="28"/>
          <w:lang w:eastAsia="zh-CN"/>
        </w:rPr>
      </w:pPr>
      <w:r>
        <w:rPr>
          <w:rFonts w:hint="eastAsia" w:ascii="仿宋_GB2312" w:hAnsi="宋体" w:eastAsia="仿宋_GB2312"/>
          <w:sz w:val="28"/>
          <w:szCs w:val="28"/>
        </w:rPr>
        <w:t>1、严格按照</w:t>
      </w:r>
      <w:r>
        <w:rPr>
          <w:rFonts w:hint="eastAsia" w:ascii="仿宋_GB2312" w:hAnsi="宋体" w:eastAsia="仿宋_GB2312"/>
          <w:sz w:val="28"/>
          <w:szCs w:val="28"/>
          <w:lang w:eastAsia="zh-CN"/>
        </w:rPr>
        <w:t>国家相关规范进行加固设计，达到安老院建筑质量和抗震要求。</w:t>
      </w:r>
    </w:p>
    <w:p>
      <w:pPr>
        <w:ind w:firstLine="560" w:firstLineChars="200"/>
        <w:rPr>
          <w:rFonts w:hint="eastAsia" w:ascii="仿宋_GB2312" w:hAnsi="宋体" w:eastAsia="仿宋_GB2312"/>
          <w:sz w:val="28"/>
          <w:szCs w:val="28"/>
          <w:lang w:eastAsia="zh-CN"/>
        </w:rPr>
      </w:pPr>
      <w:r>
        <w:rPr>
          <w:rFonts w:hint="eastAsia" w:ascii="仿宋_GB2312" w:hAnsi="宋体" w:eastAsia="仿宋_GB2312"/>
          <w:sz w:val="28"/>
          <w:szCs w:val="28"/>
        </w:rPr>
        <w:t>2、</w:t>
      </w:r>
      <w:r>
        <w:rPr>
          <w:rFonts w:hint="eastAsia" w:ascii="仿宋_GB2312" w:hAnsi="宋体" w:eastAsia="仿宋_GB2312"/>
          <w:sz w:val="28"/>
          <w:szCs w:val="28"/>
          <w:lang w:eastAsia="zh-CN"/>
        </w:rPr>
        <w:t>满足使用功能需求。本安老院使用功能需求包含但不限于：普通养老居室、失能和半失能养老居室、餐厅、人员办公等其他辅助用房。</w:t>
      </w:r>
    </w:p>
    <w:p>
      <w:pPr>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3.加固设计图必须通过相关审查机构审查。</w:t>
      </w:r>
    </w:p>
    <w:p>
      <w:pPr>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4.保证合同签订之日起30个日历日内完成本项目房屋加固设计图纸。</w:t>
      </w:r>
    </w:p>
    <w:p>
      <w:pPr>
        <w:tabs>
          <w:tab w:val="left" w:pos="3255"/>
        </w:tabs>
        <w:adjustRightInd w:val="0"/>
        <w:snapToGrid w:val="0"/>
        <w:spacing w:line="360" w:lineRule="auto"/>
        <w:outlineLvl w:val="0"/>
        <w:rPr>
          <w:rFonts w:hint="eastAsia" w:ascii="宋体" w:hAnsi="宋体"/>
          <w:b/>
          <w:bCs/>
          <w:sz w:val="32"/>
          <w:szCs w:val="32"/>
        </w:rPr>
      </w:pPr>
      <w:r>
        <w:rPr>
          <w:rFonts w:hint="eastAsia" w:ascii="宋体" w:hAnsi="宋体"/>
          <w:b/>
          <w:bCs/>
          <w:sz w:val="32"/>
          <w:szCs w:val="32"/>
          <w:lang w:eastAsia="zh-CN"/>
        </w:rPr>
        <w:t>四</w:t>
      </w:r>
      <w:r>
        <w:rPr>
          <w:rFonts w:hint="eastAsia" w:ascii="宋体" w:hAnsi="宋体"/>
          <w:b/>
          <w:bCs/>
          <w:sz w:val="32"/>
          <w:szCs w:val="32"/>
        </w:rPr>
        <w:t>、付款要求</w:t>
      </w:r>
    </w:p>
    <w:p>
      <w:pPr>
        <w:spacing w:line="600" w:lineRule="exact"/>
        <w:rPr>
          <w:rFonts w:hint="eastAsia" w:ascii="仿宋_GB2312" w:hAnsi="仿宋" w:eastAsia="仿宋_GB2312"/>
          <w:bCs/>
          <w:color w:val="000000"/>
          <w:sz w:val="32"/>
          <w:szCs w:val="32"/>
        </w:rPr>
      </w:pPr>
      <w:r>
        <w:rPr>
          <w:rFonts w:hint="eastAsia" w:ascii="仿宋_GB2312" w:hAnsi="仿宋" w:eastAsia="仿宋_GB2312"/>
          <w:bCs/>
          <w:color w:val="000000"/>
          <w:sz w:val="32"/>
          <w:szCs w:val="32"/>
        </w:rPr>
        <w:t>1、工程项目暂定</w:t>
      </w:r>
      <w:r>
        <w:rPr>
          <w:rFonts w:hint="eastAsia" w:ascii="仿宋_GB2312" w:hAnsi="仿宋" w:eastAsia="仿宋_GB2312"/>
          <w:bCs/>
          <w:color w:val="000000"/>
          <w:sz w:val="32"/>
          <w:szCs w:val="32"/>
          <w:lang w:val="en-US" w:eastAsia="zh-CN"/>
        </w:rPr>
        <w:t>733</w:t>
      </w:r>
      <w:r>
        <w:rPr>
          <w:rFonts w:hint="eastAsia" w:ascii="仿宋_GB2312" w:hAnsi="仿宋" w:eastAsia="仿宋_GB2312"/>
          <w:bCs/>
          <w:color w:val="000000"/>
          <w:sz w:val="32"/>
          <w:szCs w:val="32"/>
        </w:rPr>
        <w:t>万元为计费额，专业调整系数为1.0，工程复杂程度调整系数为1.0，高程调整系数为1.0，计得</w:t>
      </w:r>
      <w:r>
        <w:rPr>
          <w:rFonts w:hint="eastAsia" w:ascii="仿宋_GB2312" w:hAnsi="仿宋" w:eastAsia="仿宋_GB2312"/>
          <w:bCs/>
          <w:color w:val="000000"/>
          <w:sz w:val="32"/>
          <w:szCs w:val="32"/>
          <w:lang w:eastAsia="zh-CN"/>
        </w:rPr>
        <w:t>设计</w:t>
      </w:r>
      <w:r>
        <w:rPr>
          <w:rFonts w:hint="eastAsia" w:ascii="仿宋_GB2312" w:hAnsi="仿宋" w:eastAsia="仿宋_GB2312"/>
          <w:bCs/>
          <w:color w:val="000000"/>
          <w:sz w:val="32"/>
          <w:szCs w:val="32"/>
        </w:rPr>
        <w:t>服务收费基准价为</w:t>
      </w:r>
      <w:r>
        <w:rPr>
          <w:rFonts w:hint="eastAsia" w:ascii="仿宋_GB2312" w:hAnsi="仿宋" w:eastAsia="仿宋_GB2312"/>
          <w:bCs/>
          <w:color w:val="000000"/>
          <w:sz w:val="32"/>
          <w:szCs w:val="32"/>
          <w:lang w:val="en-US" w:eastAsia="zh-CN"/>
        </w:rPr>
        <w:t>29.24</w:t>
      </w:r>
      <w:r>
        <w:rPr>
          <w:rFonts w:hint="eastAsia" w:ascii="仿宋_GB2312" w:hAnsi="仿宋" w:eastAsia="仿宋_GB2312"/>
          <w:bCs/>
          <w:color w:val="000000"/>
          <w:sz w:val="32"/>
          <w:szCs w:val="32"/>
        </w:rPr>
        <w:t>万元。</w:t>
      </w:r>
    </w:p>
    <w:p>
      <w:pPr>
        <w:spacing w:line="600" w:lineRule="exact"/>
        <w:ind w:firstLine="640" w:firstLineChars="200"/>
        <w:rPr>
          <w:rFonts w:hint="eastAsia" w:ascii="仿宋_GB2312" w:hAnsi="仿宋" w:eastAsia="仿宋_GB2312"/>
          <w:bCs/>
          <w:color w:val="000000"/>
          <w:sz w:val="32"/>
          <w:szCs w:val="32"/>
        </w:rPr>
      </w:pPr>
      <w:r>
        <w:rPr>
          <w:rFonts w:hint="eastAsia" w:ascii="仿宋_GB2312" w:hAnsi="仿宋" w:eastAsia="仿宋_GB2312"/>
          <w:bCs/>
          <w:color w:val="000000"/>
          <w:sz w:val="32"/>
          <w:szCs w:val="32"/>
        </w:rPr>
        <w:t>下浮率=1-（投标报价/</w:t>
      </w:r>
      <w:r>
        <w:rPr>
          <w:rFonts w:hint="eastAsia" w:ascii="仿宋_GB2312" w:hAnsi="仿宋" w:eastAsia="仿宋_GB2312"/>
          <w:bCs/>
          <w:color w:val="000000"/>
          <w:sz w:val="32"/>
          <w:szCs w:val="32"/>
          <w:lang w:eastAsia="zh-CN"/>
        </w:rPr>
        <w:t>加固设计</w:t>
      </w:r>
      <w:r>
        <w:rPr>
          <w:rFonts w:hint="eastAsia" w:ascii="仿宋_GB2312" w:hAnsi="仿宋" w:eastAsia="仿宋_GB2312"/>
          <w:bCs/>
          <w:color w:val="000000"/>
          <w:sz w:val="32"/>
          <w:szCs w:val="32"/>
        </w:rPr>
        <w:t>收费基准价）</w:t>
      </w:r>
    </w:p>
    <w:p>
      <w:pPr>
        <w:spacing w:line="600" w:lineRule="exact"/>
        <w:ind w:firstLine="640" w:firstLineChars="200"/>
        <w:rPr>
          <w:rFonts w:hint="eastAsia" w:ascii="仿宋_GB2312" w:hAnsi="仿宋" w:eastAsia="仿宋_GB2312"/>
          <w:bCs/>
          <w:color w:val="000000"/>
          <w:sz w:val="32"/>
          <w:szCs w:val="32"/>
          <w:lang w:eastAsia="zh-CN"/>
        </w:rPr>
      </w:pPr>
      <w:r>
        <w:rPr>
          <w:rFonts w:hint="eastAsia" w:ascii="仿宋_GB2312" w:hAnsi="仿宋" w:eastAsia="仿宋_GB2312"/>
          <w:bCs/>
          <w:color w:val="000000"/>
          <w:sz w:val="32"/>
          <w:szCs w:val="32"/>
          <w:lang w:eastAsia="zh-CN"/>
        </w:rPr>
        <w:t>加固设计</w:t>
      </w:r>
      <w:r>
        <w:rPr>
          <w:rFonts w:hint="eastAsia" w:ascii="仿宋_GB2312" w:hAnsi="仿宋" w:eastAsia="仿宋_GB2312"/>
          <w:bCs/>
          <w:color w:val="000000"/>
          <w:sz w:val="32"/>
          <w:szCs w:val="32"/>
        </w:rPr>
        <w:t>费以</w:t>
      </w:r>
      <w:r>
        <w:rPr>
          <w:rFonts w:hint="eastAsia" w:ascii="仿宋_GB2312" w:hAnsi="仿宋" w:eastAsia="仿宋_GB2312"/>
          <w:bCs/>
          <w:color w:val="000000"/>
          <w:sz w:val="32"/>
          <w:szCs w:val="32"/>
          <w:lang w:eastAsia="zh-CN"/>
        </w:rPr>
        <w:t>财审审定价为计费额</w:t>
      </w:r>
      <w:r>
        <w:rPr>
          <w:rFonts w:hint="eastAsia" w:ascii="仿宋_GB2312" w:hAnsi="仿宋" w:eastAsia="仿宋_GB2312"/>
          <w:bCs/>
          <w:color w:val="000000"/>
          <w:sz w:val="32"/>
          <w:szCs w:val="32"/>
        </w:rPr>
        <w:t>，</w:t>
      </w:r>
      <w:r>
        <w:rPr>
          <w:rFonts w:hint="eastAsia" w:ascii="仿宋_GB2312" w:hAnsi="仿宋" w:eastAsia="仿宋_GB2312"/>
          <w:bCs/>
          <w:color w:val="000000"/>
          <w:sz w:val="32"/>
          <w:szCs w:val="32"/>
          <w:lang w:val="en-US" w:eastAsia="zh-CN"/>
        </w:rPr>
        <w:t>按照《工程勘察设计收费管理规定》（计价格</w:t>
      </w:r>
      <w:r>
        <w:rPr>
          <w:rFonts w:hint="eastAsia" w:ascii="仿宋_GB2312" w:hAnsi="仿宋_GB2312" w:eastAsia="仿宋_GB2312" w:cs="仿宋_GB2312"/>
          <w:bCs/>
          <w:color w:val="000000"/>
          <w:sz w:val="32"/>
          <w:szCs w:val="32"/>
          <w:lang w:val="en-US" w:eastAsia="zh-CN"/>
        </w:rPr>
        <w:t>[2002]10号</w:t>
      </w:r>
      <w:r>
        <w:rPr>
          <w:rFonts w:hint="eastAsia" w:ascii="仿宋_GB2312" w:hAnsi="仿宋" w:eastAsia="仿宋_GB2312"/>
          <w:bCs/>
          <w:color w:val="000000"/>
          <w:sz w:val="32"/>
          <w:szCs w:val="32"/>
          <w:lang w:val="en-US" w:eastAsia="zh-CN"/>
        </w:rPr>
        <w:t>）文件规定</w:t>
      </w:r>
      <w:r>
        <w:rPr>
          <w:rFonts w:hint="eastAsia" w:ascii="仿宋_GB2312" w:hAnsi="仿宋" w:eastAsia="仿宋_GB2312"/>
          <w:bCs/>
          <w:color w:val="000000"/>
          <w:sz w:val="32"/>
          <w:szCs w:val="32"/>
        </w:rPr>
        <w:t>，收费基价标准及调整系数计算得出工程设计收费基准价，乘以（1-下浮率）得出</w:t>
      </w:r>
      <w:r>
        <w:rPr>
          <w:rFonts w:hint="eastAsia" w:ascii="仿宋_GB2312" w:hAnsi="仿宋" w:eastAsia="仿宋_GB2312"/>
          <w:bCs/>
          <w:color w:val="000000"/>
          <w:sz w:val="32"/>
          <w:szCs w:val="32"/>
          <w:lang w:eastAsia="zh-CN"/>
        </w:rPr>
        <w:t>，</w:t>
      </w:r>
      <w:r>
        <w:rPr>
          <w:rFonts w:hint="eastAsia" w:ascii="仿宋_GB2312" w:hAnsi="仿宋" w:eastAsia="仿宋_GB2312"/>
          <w:bCs/>
          <w:color w:val="000000"/>
          <w:sz w:val="32"/>
          <w:szCs w:val="32"/>
        </w:rPr>
        <w:t>确定本工程的</w:t>
      </w:r>
      <w:r>
        <w:rPr>
          <w:rFonts w:hint="eastAsia" w:ascii="仿宋_GB2312" w:hAnsi="仿宋" w:eastAsia="仿宋_GB2312"/>
          <w:bCs/>
          <w:color w:val="000000"/>
          <w:sz w:val="32"/>
          <w:szCs w:val="32"/>
          <w:lang w:eastAsia="zh-CN"/>
        </w:rPr>
        <w:t>设计</w:t>
      </w:r>
      <w:r>
        <w:rPr>
          <w:rFonts w:hint="eastAsia" w:ascii="仿宋_GB2312" w:hAnsi="仿宋" w:eastAsia="仿宋_GB2312"/>
          <w:bCs/>
          <w:color w:val="000000"/>
          <w:sz w:val="32"/>
          <w:szCs w:val="32"/>
        </w:rPr>
        <w:t>费用</w:t>
      </w:r>
      <w:r>
        <w:rPr>
          <w:rFonts w:hint="eastAsia" w:ascii="仿宋_GB2312" w:hAnsi="仿宋" w:eastAsia="仿宋_GB2312"/>
          <w:bCs/>
          <w:color w:val="000000"/>
          <w:sz w:val="32"/>
          <w:szCs w:val="32"/>
          <w:lang w:eastAsia="zh-CN"/>
        </w:rPr>
        <w:t>，超出</w:t>
      </w:r>
      <w:r>
        <w:rPr>
          <w:rFonts w:hint="eastAsia" w:ascii="仿宋_GB2312" w:hAnsi="仿宋" w:eastAsia="仿宋_GB2312"/>
          <w:bCs/>
          <w:color w:val="000000"/>
          <w:sz w:val="32"/>
          <w:szCs w:val="32"/>
          <w:lang w:val="en-US" w:eastAsia="zh-CN"/>
        </w:rPr>
        <w:t>14.90万元的部分不再补偿。</w:t>
      </w:r>
    </w:p>
    <w:p>
      <w:pPr>
        <w:spacing w:line="360" w:lineRule="auto"/>
        <w:rPr>
          <w:rFonts w:ascii="仿宋_GB2312" w:hAnsi="仿宋" w:eastAsia="仿宋_GB2312"/>
          <w:bCs/>
          <w:color w:val="000000"/>
          <w:sz w:val="32"/>
          <w:szCs w:val="32"/>
        </w:rPr>
      </w:pPr>
      <w:r>
        <w:rPr>
          <w:rFonts w:hint="eastAsia" w:ascii="仿宋_GB2312" w:hAnsi="仿宋" w:eastAsia="仿宋_GB2312"/>
          <w:bCs/>
          <w:color w:val="000000"/>
          <w:sz w:val="32"/>
          <w:szCs w:val="32"/>
          <w:lang w:val="en-US" w:eastAsia="zh-CN"/>
        </w:rPr>
        <w:t>2</w:t>
      </w:r>
      <w:r>
        <w:rPr>
          <w:rFonts w:hint="eastAsia" w:ascii="仿宋_GB2312" w:hAnsi="仿宋" w:eastAsia="仿宋_GB2312"/>
          <w:bCs/>
          <w:color w:val="000000"/>
          <w:sz w:val="32"/>
          <w:szCs w:val="32"/>
        </w:rPr>
        <w:t>、甲方支付工程款项前，乙方需开具有效发票予甲方。</w:t>
      </w:r>
    </w:p>
    <w:p>
      <w:pPr>
        <w:spacing w:line="600" w:lineRule="exact"/>
        <w:jc w:val="left"/>
        <w:rPr>
          <w:rFonts w:ascii="宋体" w:hAnsi="宋体"/>
          <w:b/>
          <w:bCs/>
          <w:sz w:val="32"/>
          <w:szCs w:val="32"/>
        </w:rPr>
      </w:pPr>
      <w:r>
        <w:rPr>
          <w:rFonts w:hint="eastAsia" w:ascii="宋体" w:hAnsi="宋体"/>
          <w:b/>
          <w:bCs/>
          <w:sz w:val="32"/>
          <w:szCs w:val="32"/>
          <w:lang w:eastAsia="zh-CN"/>
        </w:rPr>
        <w:t>五</w:t>
      </w:r>
      <w:r>
        <w:rPr>
          <w:rFonts w:hint="eastAsia" w:ascii="宋体" w:hAnsi="宋体"/>
          <w:b/>
          <w:bCs/>
          <w:sz w:val="32"/>
          <w:szCs w:val="32"/>
        </w:rPr>
        <w:t>、最高限价及定标方式</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（一）各投标人报价不能超出本项目的财政预算</w:t>
      </w:r>
      <w:r>
        <w:rPr>
          <w:rFonts w:hint="eastAsia" w:ascii="仿宋_GB2312" w:hAnsi="仿宋" w:eastAsia="仿宋_GB2312"/>
          <w:bCs/>
          <w:color w:val="000000"/>
          <w:sz w:val="32"/>
          <w:szCs w:val="32"/>
          <w:lang w:val="en-US" w:eastAsia="zh-CN"/>
        </w:rPr>
        <w:t>149000</w:t>
      </w:r>
      <w:r>
        <w:rPr>
          <w:rFonts w:hint="eastAsia" w:ascii="仿宋_GB2312" w:hAnsi="仿宋" w:eastAsia="仿宋_GB2312"/>
          <w:bCs/>
          <w:color w:val="000000"/>
          <w:sz w:val="32"/>
          <w:szCs w:val="32"/>
        </w:rPr>
        <w:t>元。</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（二）定标方式：最低价中标法。</w:t>
      </w:r>
    </w:p>
    <w:p>
      <w:pPr>
        <w:spacing w:line="600" w:lineRule="exact"/>
        <w:jc w:val="left"/>
        <w:rPr>
          <w:rFonts w:ascii="宋体" w:hAnsi="宋体"/>
          <w:b/>
          <w:bCs/>
          <w:sz w:val="32"/>
          <w:szCs w:val="32"/>
        </w:rPr>
      </w:pPr>
      <w:r>
        <w:rPr>
          <w:rFonts w:hint="eastAsia" w:ascii="宋体" w:hAnsi="宋体"/>
          <w:b/>
          <w:bCs/>
          <w:sz w:val="32"/>
          <w:szCs w:val="32"/>
          <w:lang w:eastAsia="zh-CN"/>
        </w:rPr>
        <w:t>六</w:t>
      </w:r>
      <w:r>
        <w:rPr>
          <w:rFonts w:hint="eastAsia" w:ascii="宋体" w:hAnsi="宋体"/>
          <w:b/>
          <w:bCs/>
          <w:sz w:val="32"/>
          <w:szCs w:val="32"/>
        </w:rPr>
        <w:t>、报价要求</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报价应包含完成本次招标所有服务内容的费用，包括人工费、材料费、设备使用费、各种税务费、必须的辅助材料费、交通费及合同实施过程中不可预见费用等全部费用。</w:t>
      </w:r>
    </w:p>
    <w:p>
      <w:pPr>
        <w:spacing w:line="600" w:lineRule="exact"/>
        <w:jc w:val="left"/>
        <w:rPr>
          <w:rFonts w:ascii="宋体" w:hAnsi="宋体"/>
          <w:b/>
          <w:bCs/>
          <w:sz w:val="32"/>
          <w:szCs w:val="32"/>
        </w:rPr>
      </w:pPr>
      <w:r>
        <w:rPr>
          <w:rFonts w:hint="eastAsia" w:ascii="宋体" w:hAnsi="宋体"/>
          <w:b/>
          <w:bCs/>
          <w:sz w:val="32"/>
          <w:szCs w:val="32"/>
          <w:lang w:eastAsia="zh-CN"/>
        </w:rPr>
        <w:t>七</w:t>
      </w:r>
      <w:r>
        <w:rPr>
          <w:rFonts w:hint="eastAsia" w:ascii="宋体" w:hAnsi="宋体"/>
          <w:b/>
          <w:bCs/>
          <w:sz w:val="32"/>
          <w:szCs w:val="32"/>
        </w:rPr>
        <w:t>、供应商资格要求</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1、供应商须为在中华人民共和国境内登记注册的具有独立承担民事责任能力的法人或其他组织。</w:t>
      </w:r>
    </w:p>
    <w:p>
      <w:pPr>
        <w:spacing w:line="600" w:lineRule="exact"/>
        <w:ind w:firstLine="640" w:firstLineChars="200"/>
        <w:rPr>
          <w:rFonts w:hint="eastAsia" w:ascii="仿宋_GB2312" w:hAnsi="仿宋" w:eastAsia="仿宋_GB2312"/>
          <w:bCs/>
          <w:color w:val="000000"/>
          <w:sz w:val="32"/>
          <w:szCs w:val="32"/>
          <w:lang w:eastAsia="zh-CN"/>
        </w:rPr>
      </w:pPr>
      <w:r>
        <w:rPr>
          <w:rFonts w:hint="eastAsia" w:ascii="仿宋_GB2312" w:hAnsi="仿宋" w:eastAsia="仿宋_GB2312"/>
          <w:bCs/>
          <w:color w:val="000000"/>
          <w:sz w:val="32"/>
          <w:szCs w:val="32"/>
        </w:rPr>
        <w:t>2、必须在东莞市住房与城乡建设局办理好企业信息备案登记，且在东莞市建设局已领取有效的《东莞市建筑业企业信用管理手册》</w:t>
      </w:r>
      <w:r>
        <w:rPr>
          <w:rFonts w:hint="eastAsia" w:ascii="仿宋_GB2312" w:hAnsi="仿宋" w:eastAsia="仿宋_GB2312"/>
          <w:bCs/>
          <w:color w:val="000000"/>
          <w:sz w:val="32"/>
          <w:szCs w:val="32"/>
          <w:lang w:eastAsia="zh-CN"/>
        </w:rPr>
        <w:t>，</w:t>
      </w:r>
      <w:r>
        <w:rPr>
          <w:rFonts w:hint="eastAsia" w:ascii="仿宋_GB2312" w:hAnsi="仿宋" w:eastAsia="仿宋_GB2312"/>
          <w:bCs/>
          <w:color w:val="000000"/>
          <w:sz w:val="32"/>
          <w:szCs w:val="32"/>
        </w:rPr>
        <w:t>具备建筑行业（建筑工程</w:t>
      </w:r>
      <w:r>
        <w:rPr>
          <w:rFonts w:hint="eastAsia" w:ascii="仿宋_GB2312" w:hAnsi="仿宋" w:eastAsia="仿宋_GB2312"/>
          <w:bCs/>
          <w:color w:val="000000"/>
          <w:sz w:val="32"/>
          <w:szCs w:val="32"/>
          <w:lang w:eastAsia="zh-CN"/>
        </w:rPr>
        <w:t>）</w:t>
      </w:r>
      <w:r>
        <w:rPr>
          <w:rFonts w:hint="eastAsia" w:ascii="仿宋_GB2312" w:hAnsi="仿宋" w:eastAsia="仿宋_GB2312"/>
          <w:bCs/>
          <w:color w:val="000000"/>
          <w:sz w:val="32"/>
          <w:szCs w:val="32"/>
        </w:rPr>
        <w:t>乙级以上的设计院或设计公司</w:t>
      </w:r>
      <w:r>
        <w:rPr>
          <w:rFonts w:hint="eastAsia" w:ascii="仿宋_GB2312" w:hAnsi="仿宋" w:eastAsia="仿宋_GB2312"/>
          <w:bCs/>
          <w:color w:val="000000"/>
          <w:sz w:val="32"/>
          <w:szCs w:val="32"/>
          <w:lang w:eastAsia="zh-CN"/>
        </w:rPr>
        <w:t>，并</w:t>
      </w:r>
      <w:r>
        <w:rPr>
          <w:rFonts w:hint="eastAsia" w:ascii="仿宋_GB2312" w:hAnsi="仿宋" w:eastAsia="仿宋_GB2312"/>
          <w:bCs/>
          <w:color w:val="000000"/>
          <w:sz w:val="32"/>
          <w:szCs w:val="32"/>
        </w:rPr>
        <w:t>处于可用状态</w:t>
      </w:r>
      <w:r>
        <w:rPr>
          <w:rFonts w:hint="eastAsia" w:ascii="仿宋_GB2312" w:hAnsi="仿宋" w:eastAsia="仿宋_GB2312"/>
          <w:bCs/>
          <w:color w:val="000000"/>
          <w:sz w:val="32"/>
          <w:szCs w:val="32"/>
          <w:lang w:eastAsia="zh-CN"/>
        </w:rPr>
        <w:t>。</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3、投标人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投标截止日当天在“信用中国”网站（www.creditchina.gov.cn）及中国政府采购网(www.ccgp.gov.cn)查询结果为准，如相关失信记录已失效，投标人需提供相关证明资料）。</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4、供应商须符合《中华人民共和国政府采购法》第二十二条规定。</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5、凡两家或以上供应商参加同一项目的采购，有如下情况的，一经发现，将视同串标处理：①为同一法定代表人的；②为同一股东控股的；③其中一家公司为其他公司最大股东的。</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6、本项目不接受联合体投标。</w:t>
      </w:r>
    </w:p>
    <w:p>
      <w:pPr>
        <w:spacing w:line="600" w:lineRule="exact"/>
        <w:jc w:val="left"/>
        <w:rPr>
          <w:rFonts w:ascii="宋体" w:hAnsi="宋体"/>
          <w:b/>
          <w:bCs/>
          <w:sz w:val="32"/>
          <w:szCs w:val="32"/>
        </w:rPr>
      </w:pPr>
      <w:r>
        <w:rPr>
          <w:rFonts w:hint="eastAsia" w:ascii="宋体" w:hAnsi="宋体"/>
          <w:b/>
          <w:bCs/>
          <w:sz w:val="32"/>
          <w:szCs w:val="32"/>
          <w:lang w:eastAsia="zh-CN"/>
        </w:rPr>
        <w:t>八</w:t>
      </w:r>
      <w:r>
        <w:rPr>
          <w:rFonts w:hint="eastAsia" w:ascii="宋体" w:hAnsi="宋体"/>
          <w:b/>
          <w:bCs/>
          <w:sz w:val="32"/>
          <w:szCs w:val="32"/>
        </w:rPr>
        <w:t>、报价方式</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投标会现场进行询价（不得高于报价函报价）。</w:t>
      </w:r>
    </w:p>
    <w:p>
      <w:pPr>
        <w:spacing w:line="600" w:lineRule="exact"/>
        <w:jc w:val="left"/>
        <w:rPr>
          <w:rFonts w:ascii="宋体" w:hAnsi="宋体"/>
          <w:b/>
          <w:bCs/>
          <w:sz w:val="32"/>
          <w:szCs w:val="32"/>
        </w:rPr>
      </w:pPr>
      <w:r>
        <w:rPr>
          <w:rFonts w:hint="eastAsia" w:ascii="宋体" w:hAnsi="宋体"/>
          <w:b/>
          <w:bCs/>
          <w:sz w:val="32"/>
          <w:szCs w:val="32"/>
          <w:lang w:eastAsia="zh-CN"/>
        </w:rPr>
        <w:t>九</w:t>
      </w:r>
      <w:r>
        <w:rPr>
          <w:rFonts w:hint="eastAsia" w:ascii="宋体" w:hAnsi="宋体"/>
          <w:b/>
          <w:bCs/>
          <w:sz w:val="32"/>
          <w:szCs w:val="32"/>
        </w:rPr>
        <w:t>、投标保证金</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1、投标保证金：人民币</w:t>
      </w:r>
      <w:r>
        <w:rPr>
          <w:rFonts w:hint="eastAsia" w:ascii="仿宋_GB2312" w:hAnsi="仿宋" w:eastAsia="仿宋_GB2312"/>
          <w:bCs/>
          <w:color w:val="000000"/>
          <w:sz w:val="32"/>
          <w:szCs w:val="32"/>
          <w:u w:val="single"/>
        </w:rPr>
        <w:t xml:space="preserve"> </w:t>
      </w:r>
      <w:r>
        <w:rPr>
          <w:rFonts w:hint="eastAsia" w:ascii="仿宋_GB2312" w:hAnsi="仿宋" w:eastAsia="仿宋_GB2312"/>
          <w:bCs/>
          <w:color w:val="000000"/>
          <w:sz w:val="32"/>
          <w:szCs w:val="32"/>
          <w:u w:val="single"/>
          <w:lang w:val="en-US" w:eastAsia="zh-CN"/>
        </w:rPr>
        <w:t>29</w:t>
      </w:r>
      <w:r>
        <w:rPr>
          <w:rFonts w:hint="eastAsia" w:ascii="仿宋_GB2312" w:hAnsi="仿宋" w:eastAsia="仿宋_GB2312"/>
          <w:bCs/>
          <w:color w:val="000000"/>
          <w:sz w:val="32"/>
          <w:szCs w:val="32"/>
          <w:u w:val="single"/>
        </w:rPr>
        <w:t xml:space="preserve">00 </w:t>
      </w:r>
      <w:r>
        <w:rPr>
          <w:rFonts w:hint="eastAsia" w:ascii="仿宋_GB2312" w:hAnsi="仿宋" w:eastAsia="仿宋_GB2312"/>
          <w:bCs/>
          <w:color w:val="000000"/>
          <w:sz w:val="32"/>
          <w:szCs w:val="32"/>
        </w:rPr>
        <w:t>元。</w:t>
      </w:r>
    </w:p>
    <w:p>
      <w:pPr>
        <w:spacing w:line="600" w:lineRule="exact"/>
        <w:rPr>
          <w:rFonts w:ascii="仿宋_GB2312" w:hAnsi="仿宋" w:eastAsia="仿宋_GB2312"/>
          <w:bCs/>
          <w:color w:val="000000"/>
          <w:sz w:val="32"/>
          <w:szCs w:val="32"/>
        </w:rPr>
      </w:pPr>
      <w:r>
        <w:rPr>
          <w:rFonts w:hint="eastAsia" w:ascii="仿宋_GB2312" w:hAnsi="仿宋" w:eastAsia="仿宋_GB2312"/>
          <w:bCs/>
          <w:color w:val="000000"/>
          <w:sz w:val="32"/>
          <w:szCs w:val="32"/>
        </w:rPr>
        <w:t xml:space="preserve">    2、投标人应按规定数额及时间提交投标保证金，并作为其投标的一部分。</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3、提交保证金是对</w:t>
      </w:r>
      <w:r>
        <w:rPr>
          <w:rFonts w:hint="eastAsia" w:ascii="仿宋_GB2312" w:hAnsi="仿宋" w:eastAsia="仿宋_GB2312"/>
          <w:bCs/>
          <w:color w:val="000000"/>
          <w:sz w:val="32"/>
          <w:szCs w:val="32"/>
        </w:rPr>
        <w:fldChar w:fldCharType="begin"/>
      </w:r>
      <w:r>
        <w:rPr>
          <w:rFonts w:hint="eastAsia" w:ascii="仿宋_GB2312" w:hAnsi="仿宋" w:eastAsia="仿宋_GB2312"/>
          <w:bCs/>
          <w:color w:val="000000"/>
          <w:sz w:val="32"/>
          <w:szCs w:val="32"/>
        </w:rPr>
        <w:instrText xml:space="preserve"> HYPERLINK "https://baike.so.com/doc/6151858-6365059.html" \t "_blank" </w:instrText>
      </w:r>
      <w:r>
        <w:rPr>
          <w:rFonts w:hint="eastAsia" w:ascii="仿宋_GB2312" w:hAnsi="仿宋" w:eastAsia="仿宋_GB2312"/>
          <w:bCs/>
          <w:color w:val="000000"/>
          <w:sz w:val="32"/>
          <w:szCs w:val="32"/>
        </w:rPr>
        <w:fldChar w:fldCharType="separate"/>
      </w:r>
      <w:r>
        <w:rPr>
          <w:rFonts w:hint="eastAsia" w:ascii="仿宋_GB2312" w:hAnsi="仿宋" w:eastAsia="仿宋_GB2312"/>
          <w:bCs/>
          <w:color w:val="000000"/>
          <w:sz w:val="32"/>
          <w:szCs w:val="32"/>
        </w:rPr>
        <w:t>投标人</w:t>
      </w:r>
      <w:r>
        <w:rPr>
          <w:rFonts w:hint="eastAsia" w:ascii="仿宋_GB2312" w:hAnsi="仿宋" w:eastAsia="仿宋_GB2312"/>
          <w:bCs/>
          <w:color w:val="000000"/>
          <w:sz w:val="32"/>
          <w:szCs w:val="32"/>
        </w:rPr>
        <w:fldChar w:fldCharType="end"/>
      </w:r>
      <w:r>
        <w:rPr>
          <w:rFonts w:hint="eastAsia" w:ascii="仿宋_GB2312" w:hAnsi="仿宋" w:eastAsia="仿宋_GB2312"/>
          <w:bCs/>
          <w:color w:val="000000"/>
          <w:sz w:val="32"/>
          <w:szCs w:val="32"/>
        </w:rPr>
        <w:t>的投标行为产生约束作用。保证</w:t>
      </w:r>
      <w:r>
        <w:rPr>
          <w:rFonts w:hint="eastAsia" w:ascii="仿宋_GB2312" w:hAnsi="仿宋" w:eastAsia="仿宋_GB2312"/>
          <w:bCs/>
          <w:color w:val="000000"/>
          <w:sz w:val="32"/>
          <w:szCs w:val="32"/>
        </w:rPr>
        <w:fldChar w:fldCharType="begin"/>
      </w:r>
      <w:r>
        <w:rPr>
          <w:rFonts w:hint="eastAsia" w:ascii="仿宋_GB2312" w:hAnsi="仿宋" w:eastAsia="仿宋_GB2312"/>
          <w:bCs/>
          <w:color w:val="000000"/>
          <w:sz w:val="32"/>
          <w:szCs w:val="32"/>
        </w:rPr>
        <w:instrText xml:space="preserve"> HYPERLINK "https://baike.so.com/doc/6193145-6406403.html" \t "_blank" </w:instrText>
      </w:r>
      <w:r>
        <w:rPr>
          <w:rFonts w:hint="eastAsia" w:ascii="仿宋_GB2312" w:hAnsi="仿宋" w:eastAsia="仿宋_GB2312"/>
          <w:bCs/>
          <w:color w:val="000000"/>
          <w:sz w:val="32"/>
          <w:szCs w:val="32"/>
        </w:rPr>
        <w:fldChar w:fldCharType="separate"/>
      </w:r>
      <w:r>
        <w:rPr>
          <w:rFonts w:hint="eastAsia" w:ascii="仿宋_GB2312" w:hAnsi="仿宋" w:eastAsia="仿宋_GB2312"/>
          <w:bCs/>
          <w:color w:val="000000"/>
          <w:sz w:val="32"/>
          <w:szCs w:val="32"/>
        </w:rPr>
        <w:t>招标投标</w:t>
      </w:r>
      <w:r>
        <w:rPr>
          <w:rFonts w:hint="eastAsia" w:ascii="仿宋_GB2312" w:hAnsi="仿宋" w:eastAsia="仿宋_GB2312"/>
          <w:bCs/>
          <w:color w:val="000000"/>
          <w:sz w:val="32"/>
          <w:szCs w:val="32"/>
        </w:rPr>
        <w:fldChar w:fldCharType="end"/>
      </w:r>
      <w:r>
        <w:rPr>
          <w:rFonts w:hint="eastAsia" w:ascii="仿宋_GB2312" w:hAnsi="仿宋" w:eastAsia="仿宋_GB2312"/>
          <w:bCs/>
          <w:color w:val="000000"/>
          <w:sz w:val="32"/>
          <w:szCs w:val="32"/>
        </w:rPr>
        <w:t>活动的严肃性。</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 xml:space="preserve"> 4、投标人在投标截止时间前（即公告的开标时间前），应按规定的金额提交投标担保。投标保证金的提交要求如下：</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（1） 投标人缴纳的投标保证金需由投标人基本账户转出，否则，东莞市道滘镇招投标服务所一律不予认定。因此而导致无法参与投标的相关责任由投标人自行承担。</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 xml:space="preserve">      收款人：东莞市道滘镇招投标服务所</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 xml:space="preserve">      开户行：广发银行股份有限公司东莞道滘支行</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 xml:space="preserve">      帐  号： 9550880208612100197000042</w:t>
      </w:r>
      <w:bookmarkStart w:id="0" w:name="_GoBack"/>
      <w:bookmarkEnd w:id="0"/>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 xml:space="preserve"> （2）缴存投标保证金必须在投标截止时间前完成，以款项到达银行帐户时间为确认缴存时间。在投标截止时间后转入的保证金，一律不予认定，因此而导致无法参与投标的相关责任由投标人自行承担。</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 xml:space="preserve"> （3）凡没有根据规定递交投标保证金的投标，应视为非响应性投标予以拒绝。</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5、投标保证金退回如下：</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（1）未中标的投标人投标保证金自投标会结束5个工作日内无息原路退回；</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（2）中标人或采购人在签订采购合同之日起五个工作日内携带合同副本，到道滘镇招投标服务所办理投标保证金退回手续。招投标服务所自收到合同副本起5个工作日内无息原路退回投标保证金。</w:t>
      </w:r>
    </w:p>
    <w:p>
      <w:pPr>
        <w:spacing w:line="600" w:lineRule="exact"/>
        <w:rPr>
          <w:rFonts w:ascii="仿宋_GB2312" w:hAnsi="仿宋" w:eastAsia="仿宋_GB2312"/>
          <w:bCs/>
          <w:color w:val="000000"/>
          <w:sz w:val="32"/>
          <w:szCs w:val="32"/>
        </w:rPr>
      </w:pPr>
      <w:r>
        <w:rPr>
          <w:rFonts w:hint="eastAsia" w:ascii="仿宋_GB2312" w:hAnsi="仿宋" w:eastAsia="仿宋_GB2312"/>
          <w:bCs/>
          <w:color w:val="000000"/>
          <w:sz w:val="32"/>
          <w:szCs w:val="32"/>
        </w:rPr>
        <w:t xml:space="preserve"> 6、存在下列任何一种情况，投标保证金将被没收：</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（1）投标人在招标文件中规定的投标有效期撤回其投标；</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（2）投标人串通投标或者以其他弄虚作假方式投标；</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（3）投标人提供虚假情况被质疑投诉；</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 xml:space="preserve">（4）中标人无故放弃中标项目或无正当理由在规定时间内不与招标人签订合同的； </w:t>
      </w:r>
    </w:p>
    <w:p>
      <w:pPr>
        <w:spacing w:line="600" w:lineRule="exact"/>
        <w:ind w:firstLine="640" w:firstLineChars="200"/>
        <w:rPr>
          <w:rFonts w:ascii="宋体" w:hAnsi="宋体" w:cs="宋体"/>
          <w:color w:val="FF0000"/>
          <w:sz w:val="30"/>
          <w:szCs w:val="30"/>
        </w:rPr>
      </w:pPr>
      <w:r>
        <w:rPr>
          <w:rFonts w:hint="eastAsia" w:ascii="仿宋_GB2312" w:hAnsi="仿宋" w:eastAsia="仿宋_GB2312"/>
          <w:bCs/>
          <w:color w:val="000000"/>
          <w:sz w:val="32"/>
          <w:szCs w:val="32"/>
        </w:rPr>
        <w:t>（5）法律法规规定和招标文件中规定的其它情况。</w:t>
      </w:r>
    </w:p>
    <w:p>
      <w:pPr>
        <w:spacing w:line="600" w:lineRule="exact"/>
        <w:jc w:val="left"/>
        <w:rPr>
          <w:rFonts w:ascii="宋体" w:hAnsi="宋体"/>
          <w:b/>
          <w:bCs/>
          <w:sz w:val="32"/>
          <w:szCs w:val="32"/>
        </w:rPr>
      </w:pPr>
      <w:r>
        <w:rPr>
          <w:rFonts w:hint="eastAsia" w:ascii="宋体" w:hAnsi="宋体"/>
          <w:b/>
          <w:bCs/>
          <w:sz w:val="32"/>
          <w:szCs w:val="32"/>
        </w:rPr>
        <w:t>十、付款方式</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（一）乙方若在中标三天内未与甲方签订合同，视为放弃中标。</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（二）合同签订后待完成合同协议全部服务项目并验收合格后支付。</w:t>
      </w:r>
    </w:p>
    <w:p>
      <w:pPr>
        <w:spacing w:line="60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（三）中标人必须向采购人提供相应款项的正规发票。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774A"/>
    <w:rsid w:val="000613ED"/>
    <w:rsid w:val="000739A6"/>
    <w:rsid w:val="000E17D8"/>
    <w:rsid w:val="001A4808"/>
    <w:rsid w:val="002213BE"/>
    <w:rsid w:val="00243679"/>
    <w:rsid w:val="00282823"/>
    <w:rsid w:val="002B6DA5"/>
    <w:rsid w:val="003160E9"/>
    <w:rsid w:val="0038557C"/>
    <w:rsid w:val="00397447"/>
    <w:rsid w:val="003A6E0F"/>
    <w:rsid w:val="00481992"/>
    <w:rsid w:val="004D348B"/>
    <w:rsid w:val="00595ECC"/>
    <w:rsid w:val="005B7A5D"/>
    <w:rsid w:val="00692B38"/>
    <w:rsid w:val="007C774A"/>
    <w:rsid w:val="008D1AD2"/>
    <w:rsid w:val="008D1BC5"/>
    <w:rsid w:val="0090337F"/>
    <w:rsid w:val="0093459A"/>
    <w:rsid w:val="00945889"/>
    <w:rsid w:val="009956E0"/>
    <w:rsid w:val="00A757A1"/>
    <w:rsid w:val="00AA7D53"/>
    <w:rsid w:val="00B25BA1"/>
    <w:rsid w:val="00CB0B7E"/>
    <w:rsid w:val="00DA030A"/>
    <w:rsid w:val="00F6623E"/>
    <w:rsid w:val="03C00FD3"/>
    <w:rsid w:val="03CD1BC1"/>
    <w:rsid w:val="03FA6ABB"/>
    <w:rsid w:val="05DA71C4"/>
    <w:rsid w:val="06935920"/>
    <w:rsid w:val="07CD3AE4"/>
    <w:rsid w:val="08507059"/>
    <w:rsid w:val="09E73AC8"/>
    <w:rsid w:val="0C1B00AD"/>
    <w:rsid w:val="0C1D1994"/>
    <w:rsid w:val="0CAD46A3"/>
    <w:rsid w:val="1082497F"/>
    <w:rsid w:val="118C54B8"/>
    <w:rsid w:val="13921CF6"/>
    <w:rsid w:val="14C27EA9"/>
    <w:rsid w:val="152779D9"/>
    <w:rsid w:val="18F25DB0"/>
    <w:rsid w:val="194F0878"/>
    <w:rsid w:val="19633402"/>
    <w:rsid w:val="19A275C0"/>
    <w:rsid w:val="1A320F42"/>
    <w:rsid w:val="1A8C3624"/>
    <w:rsid w:val="1AC852D0"/>
    <w:rsid w:val="1B780712"/>
    <w:rsid w:val="1C6D1D1A"/>
    <w:rsid w:val="1DDB0D79"/>
    <w:rsid w:val="22164D70"/>
    <w:rsid w:val="22FD75E5"/>
    <w:rsid w:val="23EB7FF0"/>
    <w:rsid w:val="24F541FF"/>
    <w:rsid w:val="251259BA"/>
    <w:rsid w:val="25FE4A79"/>
    <w:rsid w:val="264233CE"/>
    <w:rsid w:val="27842EE1"/>
    <w:rsid w:val="27C34A65"/>
    <w:rsid w:val="283911A7"/>
    <w:rsid w:val="2C0E7775"/>
    <w:rsid w:val="2DB87C5A"/>
    <w:rsid w:val="2EDD2300"/>
    <w:rsid w:val="2F290BFC"/>
    <w:rsid w:val="2F3C5C4C"/>
    <w:rsid w:val="31710093"/>
    <w:rsid w:val="31B224F4"/>
    <w:rsid w:val="31C34886"/>
    <w:rsid w:val="32763965"/>
    <w:rsid w:val="32C9390E"/>
    <w:rsid w:val="330A1B80"/>
    <w:rsid w:val="335C3716"/>
    <w:rsid w:val="34305F0E"/>
    <w:rsid w:val="35425312"/>
    <w:rsid w:val="375D472B"/>
    <w:rsid w:val="37876488"/>
    <w:rsid w:val="392D4902"/>
    <w:rsid w:val="39677A68"/>
    <w:rsid w:val="3B946FF2"/>
    <w:rsid w:val="3CD75659"/>
    <w:rsid w:val="3D9527B1"/>
    <w:rsid w:val="40874457"/>
    <w:rsid w:val="4234707E"/>
    <w:rsid w:val="425705CD"/>
    <w:rsid w:val="42782935"/>
    <w:rsid w:val="444A1436"/>
    <w:rsid w:val="44A8226A"/>
    <w:rsid w:val="46144F5D"/>
    <w:rsid w:val="46BB293B"/>
    <w:rsid w:val="48A10EA7"/>
    <w:rsid w:val="493567A9"/>
    <w:rsid w:val="4B5D4777"/>
    <w:rsid w:val="4C2C4166"/>
    <w:rsid w:val="4C607FF7"/>
    <w:rsid w:val="4F7F004A"/>
    <w:rsid w:val="50FB5A5F"/>
    <w:rsid w:val="515341DF"/>
    <w:rsid w:val="52C35988"/>
    <w:rsid w:val="56200222"/>
    <w:rsid w:val="5631494F"/>
    <w:rsid w:val="56474EFC"/>
    <w:rsid w:val="57253B7A"/>
    <w:rsid w:val="587806BE"/>
    <w:rsid w:val="58C02D82"/>
    <w:rsid w:val="5A8F36FA"/>
    <w:rsid w:val="5AA37C06"/>
    <w:rsid w:val="5C414655"/>
    <w:rsid w:val="5C777974"/>
    <w:rsid w:val="5F7317D8"/>
    <w:rsid w:val="5FC5121C"/>
    <w:rsid w:val="606406DA"/>
    <w:rsid w:val="60687088"/>
    <w:rsid w:val="61E23470"/>
    <w:rsid w:val="62026964"/>
    <w:rsid w:val="6308787E"/>
    <w:rsid w:val="644A3CB1"/>
    <w:rsid w:val="65B95F43"/>
    <w:rsid w:val="66F952A1"/>
    <w:rsid w:val="66F961B1"/>
    <w:rsid w:val="690B61E8"/>
    <w:rsid w:val="695B70B3"/>
    <w:rsid w:val="69942ABB"/>
    <w:rsid w:val="6A371A74"/>
    <w:rsid w:val="6ACC6523"/>
    <w:rsid w:val="6B6B036E"/>
    <w:rsid w:val="6E974A9D"/>
    <w:rsid w:val="73DB4F8C"/>
    <w:rsid w:val="73F05D2B"/>
    <w:rsid w:val="740525B2"/>
    <w:rsid w:val="742A0E1F"/>
    <w:rsid w:val="74684857"/>
    <w:rsid w:val="750B5087"/>
    <w:rsid w:val="7819283E"/>
    <w:rsid w:val="7902100C"/>
    <w:rsid w:val="7B1E5ABA"/>
    <w:rsid w:val="7C447785"/>
    <w:rsid w:val="7C667534"/>
    <w:rsid w:val="7E263873"/>
    <w:rsid w:val="7FB4505A"/>
    <w:rsid w:val="7FC55B85"/>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unhideWhenUsed/>
    <w:qFormat/>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5">
    <w:name w:val="FollowedHyperlink"/>
    <w:basedOn w:val="4"/>
    <w:unhideWhenUsed/>
    <w:qFormat/>
    <w:uiPriority w:val="99"/>
    <w:rPr>
      <w:color w:val="2D374B"/>
      <w:u w:val="none"/>
    </w:rPr>
  </w:style>
  <w:style w:type="character" w:styleId="6">
    <w:name w:val="Hyperlink"/>
    <w:basedOn w:val="4"/>
    <w:unhideWhenUsed/>
    <w:qFormat/>
    <w:uiPriority w:val="99"/>
    <w:rPr>
      <w:color w:val="2D374B"/>
      <w:u w:val="none"/>
    </w:rPr>
  </w:style>
  <w:style w:type="character" w:customStyle="1" w:styleId="8">
    <w:name w:val="页眉 Char"/>
    <w:basedOn w:val="4"/>
    <w:link w:val="3"/>
    <w:qFormat/>
    <w:uiPriority w:val="99"/>
    <w:rPr>
      <w:sz w:val="18"/>
      <w:szCs w:val="18"/>
    </w:rPr>
  </w:style>
  <w:style w:type="character" w:customStyle="1" w:styleId="9">
    <w:name w:val="页脚 Char"/>
    <w:basedOn w:val="4"/>
    <w:link w:val="2"/>
    <w:qFormat/>
    <w:uiPriority w:val="99"/>
    <w:rPr>
      <w:sz w:val="18"/>
      <w:szCs w:val="18"/>
    </w:rPr>
  </w:style>
  <w:style w:type="character" w:customStyle="1" w:styleId="10">
    <w:name w:val="l-btn-icon-left"/>
    <w:basedOn w:val="4"/>
    <w:qFormat/>
    <w:uiPriority w:val="0"/>
  </w:style>
  <w:style w:type="character" w:customStyle="1" w:styleId="11">
    <w:name w:val="l-btn-left2"/>
    <w:basedOn w:val="4"/>
    <w:qFormat/>
    <w:uiPriority w:val="0"/>
  </w:style>
  <w:style w:type="character" w:customStyle="1" w:styleId="12">
    <w:name w:val="l-btn-left3"/>
    <w:basedOn w:val="4"/>
    <w:qFormat/>
    <w:uiPriority w:val="0"/>
  </w:style>
  <w:style w:type="character" w:customStyle="1" w:styleId="13">
    <w:name w:val="l-btn-left4"/>
    <w:basedOn w:val="4"/>
    <w:qFormat/>
    <w:uiPriority w:val="0"/>
  </w:style>
  <w:style w:type="character" w:customStyle="1" w:styleId="14">
    <w:name w:val="l-btn-left5"/>
    <w:basedOn w:val="4"/>
    <w:qFormat/>
    <w:uiPriority w:val="0"/>
  </w:style>
  <w:style w:type="character" w:customStyle="1" w:styleId="15">
    <w:name w:val="l-btn-text"/>
    <w:basedOn w:val="4"/>
    <w:qFormat/>
    <w:uiPriority w:val="0"/>
    <w:rPr>
      <w:sz w:val="18"/>
      <w:szCs w:val="18"/>
      <w:vertAlign w:val="baseline"/>
    </w:rPr>
  </w:style>
  <w:style w:type="character" w:customStyle="1" w:styleId="16">
    <w:name w:val="l-btn-empty"/>
    <w:basedOn w:val="4"/>
    <w:qFormat/>
    <w:uiPriority w:val="0"/>
  </w:style>
  <w:style w:type="character" w:customStyle="1" w:styleId="17">
    <w:name w:val="l-btn-icon-right"/>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139</Words>
  <Characters>794</Characters>
  <Lines>6</Lines>
  <Paragraphs>1</Paragraphs>
  <ScaleCrop>false</ScaleCrop>
  <LinksUpToDate>false</LinksUpToDate>
  <CharactersWithSpaces>932</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2018-05-18T07:42:00Z</dcterms:created>
  <dc:creator>DG</dc:creator>
  <cp:lastModifiedBy>Administrator</cp:lastModifiedBy>
  <cp:lastPrinted>2018-05-22T02:24:00Z</cp:lastPrinted>
  <dcterms:modified xsi:type="dcterms:W3CDTF">2018-09-10T00:58:31Z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