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firstLine="0" w:firstLineChars="0"/>
        <w:rPr>
          <w:rFonts w:hint="eastAsia" w:ascii="宋体" w:eastAsia="宋体"/>
          <w:color w:val="000000" w:themeColor="text1"/>
          <w:sz w:val="28"/>
          <w14:textFill>
            <w14:solidFill>
              <w14:schemeClr w14:val="tx1"/>
            </w14:solidFill>
          </w14:textFill>
        </w:rPr>
      </w:pPr>
    </w:p>
    <w:p>
      <w:pPr>
        <w:pStyle w:val="5"/>
        <w:ind w:firstLine="0" w:firstLineChars="0"/>
        <w:rPr>
          <w:rFonts w:hint="eastAsia" w:ascii="宋体" w:eastAsia="宋体"/>
          <w:color w:val="000000" w:themeColor="text1"/>
          <w:sz w:val="28"/>
          <w14:textFill>
            <w14:solidFill>
              <w14:schemeClr w14:val="tx1"/>
            </w14:solidFill>
          </w14:textFill>
        </w:rPr>
      </w:pPr>
    </w:p>
    <w:p>
      <w:pPr>
        <w:pStyle w:val="5"/>
        <w:ind w:firstLine="0" w:firstLineChars="0"/>
        <w:rPr>
          <w:rFonts w:hint="eastAsia" w:ascii="宋体" w:eastAsia="宋体"/>
          <w:color w:val="000000" w:themeColor="text1"/>
          <w:sz w:val="28"/>
          <w14:textFill>
            <w14:solidFill>
              <w14:schemeClr w14:val="tx1"/>
            </w14:solidFill>
          </w14:textFill>
        </w:rPr>
      </w:pPr>
    </w:p>
    <w:p>
      <w:pPr>
        <w:pStyle w:val="5"/>
        <w:ind w:firstLine="0" w:firstLineChars="0"/>
        <w:rPr>
          <w:rFonts w:hint="eastAsia" w:ascii="宋体" w:eastAsia="宋体"/>
          <w:color w:val="000000" w:themeColor="text1"/>
          <w:sz w:val="28"/>
          <w14:textFill>
            <w14:solidFill>
              <w14:schemeClr w14:val="tx1"/>
            </w14:solidFill>
          </w14:textFill>
        </w:rPr>
      </w:pPr>
    </w:p>
    <w:p>
      <w:pPr>
        <w:pStyle w:val="5"/>
        <w:ind w:firstLine="0" w:firstLineChars="0"/>
        <w:rPr>
          <w:rFonts w:hint="eastAsia" w:ascii="宋体" w:eastAsia="宋体"/>
          <w:color w:val="000000" w:themeColor="text1"/>
          <w:sz w:val="28"/>
          <w14:textFill>
            <w14:solidFill>
              <w14:schemeClr w14:val="tx1"/>
            </w14:solidFill>
          </w14:textFill>
        </w:rPr>
      </w:pPr>
    </w:p>
    <w:p>
      <w:pPr>
        <w:pStyle w:val="5"/>
        <w:ind w:firstLine="0" w:firstLineChars="0"/>
        <w:rPr>
          <w:rFonts w:hint="eastAsia" w:ascii="宋体" w:eastAsia="宋体"/>
          <w:color w:val="000000" w:themeColor="text1"/>
          <w:sz w:val="28"/>
          <w14:textFill>
            <w14:solidFill>
              <w14:schemeClr w14:val="tx1"/>
            </w14:solidFill>
          </w14:textFill>
        </w:rPr>
      </w:pPr>
    </w:p>
    <w:p>
      <w:pPr>
        <w:pStyle w:val="5"/>
        <w:ind w:firstLine="0" w:firstLineChars="0"/>
        <w:rPr>
          <w:rFonts w:hint="eastAsia" w:ascii="宋体" w:eastAsia="宋体"/>
          <w:color w:val="000000" w:themeColor="text1"/>
          <w:sz w:val="28"/>
          <w14:textFill>
            <w14:solidFill>
              <w14:schemeClr w14:val="tx1"/>
            </w14:solidFill>
          </w14:textFill>
        </w:rPr>
      </w:pPr>
    </w:p>
    <w:p>
      <w:pPr>
        <w:pStyle w:val="2"/>
        <w:spacing w:before="0" w:after="0" w:line="240" w:lineRule="auto"/>
        <w:jc w:val="both"/>
        <w:rPr>
          <w:rFonts w:hint="eastAsia" w:ascii="宋体" w:hAnsi="宋体"/>
          <w:color w:val="000000" w:themeColor="text1"/>
          <w:spacing w:val="20"/>
          <w:szCs w:val="44"/>
          <w14:textFill>
            <w14:solidFill>
              <w14:schemeClr w14:val="tx1"/>
            </w14:solidFill>
          </w14:textFill>
        </w:rPr>
      </w:pPr>
    </w:p>
    <w:p>
      <w:pPr>
        <w:pStyle w:val="2"/>
        <w:spacing w:before="0" w:after="0" w:line="240" w:lineRule="auto"/>
        <w:jc w:val="both"/>
        <w:rPr>
          <w:rFonts w:hint="eastAsia" w:ascii="宋体" w:hAnsi="宋体"/>
          <w:color w:val="000000" w:themeColor="text1"/>
          <w:spacing w:val="20"/>
          <w:szCs w:val="44"/>
          <w14:textFill>
            <w14:solidFill>
              <w14:schemeClr w14:val="tx1"/>
            </w14:solidFill>
          </w14:textFill>
        </w:rPr>
      </w:pP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2"/>
        <w:spacing w:before="0" w:after="0" w:line="240" w:lineRule="auto"/>
        <w:ind w:left="230" w:leftChars="115"/>
        <w:rPr>
          <w:rFonts w:hint="eastAsia" w:ascii="宋体" w:hAnsi="宋体"/>
          <w:color w:val="000000" w:themeColor="text1"/>
          <w:spacing w:val="20"/>
          <w:sz w:val="28"/>
          <w:szCs w:val="28"/>
          <w14:textFill>
            <w14:solidFill>
              <w14:schemeClr w14:val="tx1"/>
            </w14:solidFill>
          </w14:textFill>
        </w:rPr>
      </w:pPr>
      <w:bookmarkStart w:id="0" w:name="_Toc513624937"/>
      <w:r>
        <w:rPr>
          <w:rFonts w:hint="eastAsia" w:ascii="宋体" w:hAnsi="宋体"/>
          <w:color w:val="000000" w:themeColor="text1"/>
          <w:spacing w:val="20"/>
          <w:szCs w:val="44"/>
          <w14:textFill>
            <w14:solidFill>
              <w14:schemeClr w14:val="tx1"/>
            </w14:solidFill>
          </w14:textFill>
        </w:rPr>
        <w:t xml:space="preserve">第三部分 </w:t>
      </w:r>
      <w:r>
        <w:rPr>
          <w:rFonts w:hint="eastAsia" w:ascii="宋体" w:hAnsi="宋体"/>
          <w:color w:val="000000" w:themeColor="text1"/>
          <w14:textFill>
            <w14:solidFill>
              <w14:schemeClr w14:val="tx1"/>
            </w14:solidFill>
          </w14:textFill>
        </w:rPr>
        <w:t xml:space="preserve">  </w:t>
      </w:r>
      <w:bookmarkStart w:id="1" w:name="_GoBack"/>
      <w:r>
        <w:rPr>
          <w:rFonts w:hint="eastAsia" w:ascii="宋体" w:hAnsi="宋体"/>
          <w:color w:val="000000" w:themeColor="text1"/>
          <w14:textFill>
            <w14:solidFill>
              <w14:schemeClr w14:val="tx1"/>
            </w14:solidFill>
          </w14:textFill>
        </w:rPr>
        <w:t>用户需求书</w:t>
      </w:r>
      <w:bookmarkEnd w:id="0"/>
    </w:p>
    <w:bookmarkEnd w:id="1"/>
    <w:p>
      <w:pPr>
        <w:rPr>
          <w:rFonts w:hint="eastAsia" w:ascii="宋体" w:hAnsi="宋体"/>
          <w:color w:val="000000" w:themeColor="text1"/>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p>
    <w:p>
      <w:pPr>
        <w:spacing w:line="360" w:lineRule="auto"/>
        <w:jc w:val="both"/>
        <w:rPr>
          <w:rFonts w:hint="eastAsia" w:ascii="宋体" w:hAnsi="宋体"/>
          <w:b/>
          <w:color w:val="000000" w:themeColor="text1"/>
          <w:sz w:val="30"/>
          <w:szCs w:val="30"/>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用户需求书</w:t>
      </w:r>
    </w:p>
    <w:p>
      <w:pPr>
        <w:spacing w:line="360" w:lineRule="auto"/>
        <w:jc w:val="center"/>
        <w:rPr>
          <w:rFonts w:hint="eastAsia" w:ascii="宋体" w:hAnsi="宋体"/>
          <w:bCs/>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第一部分 商务需求书</w:t>
      </w:r>
    </w:p>
    <w:tbl>
      <w:tblPr>
        <w:tblStyle w:val="4"/>
        <w:tblW w:w="8365"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6"/>
        <w:gridCol w:w="1496"/>
        <w:gridCol w:w="603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67" w:hRule="atLeast"/>
          <w:jc w:val="center"/>
        </w:trPr>
        <w:tc>
          <w:tcPr>
            <w:tcW w:w="836" w:type="dxa"/>
            <w:vAlign w:val="center"/>
          </w:tcPr>
          <w:p>
            <w:pPr>
              <w:spacing w:line="400" w:lineRule="exact"/>
              <w:jc w:val="center"/>
              <w:rPr>
                <w:rFonts w:hint="eastAsia" w:ascii="宋体" w:hAnsi="宋体"/>
                <w:b/>
                <w:color w:val="000000" w:themeColor="text1"/>
                <w:sz w:val="22"/>
                <w14:textFill>
                  <w14:solidFill>
                    <w14:schemeClr w14:val="tx1"/>
                  </w14:solidFill>
                </w14:textFill>
              </w:rPr>
            </w:pPr>
            <w:r>
              <w:rPr>
                <w:rFonts w:hint="eastAsia" w:ascii="宋体" w:hAnsi="宋体"/>
                <w:b/>
                <w:color w:val="000000" w:themeColor="text1"/>
                <w:sz w:val="22"/>
                <w14:textFill>
                  <w14:solidFill>
                    <w14:schemeClr w14:val="tx1"/>
                  </w14:solidFill>
                </w14:textFill>
              </w:rPr>
              <w:t>序号</w:t>
            </w:r>
          </w:p>
        </w:tc>
        <w:tc>
          <w:tcPr>
            <w:tcW w:w="1496" w:type="dxa"/>
            <w:vAlign w:val="center"/>
          </w:tcPr>
          <w:p>
            <w:pPr>
              <w:spacing w:line="400" w:lineRule="exact"/>
              <w:jc w:val="center"/>
              <w:rPr>
                <w:rFonts w:hint="eastAsia" w:ascii="宋体" w:hAnsi="宋体"/>
                <w:b/>
                <w:color w:val="000000" w:themeColor="text1"/>
                <w:sz w:val="22"/>
                <w14:textFill>
                  <w14:solidFill>
                    <w14:schemeClr w14:val="tx1"/>
                  </w14:solidFill>
                </w14:textFill>
              </w:rPr>
            </w:pPr>
            <w:r>
              <w:rPr>
                <w:rFonts w:hint="eastAsia" w:ascii="宋体" w:hAnsi="宋体"/>
                <w:b/>
                <w:color w:val="000000" w:themeColor="text1"/>
                <w:sz w:val="22"/>
                <w14:textFill>
                  <w14:solidFill>
                    <w14:schemeClr w14:val="tx1"/>
                  </w14:solidFill>
                </w14:textFill>
              </w:rPr>
              <w:t>条款名称</w:t>
            </w:r>
          </w:p>
        </w:tc>
        <w:tc>
          <w:tcPr>
            <w:tcW w:w="6033" w:type="dxa"/>
            <w:vAlign w:val="center"/>
          </w:tcPr>
          <w:p>
            <w:pPr>
              <w:spacing w:line="400" w:lineRule="exact"/>
              <w:jc w:val="center"/>
              <w:rPr>
                <w:rFonts w:ascii="宋体" w:hAnsi="宋体"/>
                <w:b/>
                <w:color w:val="000000" w:themeColor="text1"/>
                <w:sz w:val="22"/>
                <w14:textFill>
                  <w14:solidFill>
                    <w14:schemeClr w14:val="tx1"/>
                  </w14:solidFill>
                </w14:textFill>
              </w:rPr>
            </w:pPr>
            <w:r>
              <w:rPr>
                <w:rFonts w:ascii="宋体" w:hAnsi="宋体"/>
                <w:b/>
                <w:color w:val="000000" w:themeColor="text1"/>
                <w:sz w:val="22"/>
                <w14:textFill>
                  <w14:solidFill>
                    <w14:schemeClr w14:val="tx1"/>
                  </w14:solidFill>
                </w14:textFill>
              </w:rPr>
              <w:t>说</w:t>
            </w:r>
            <w:r>
              <w:rPr>
                <w:rFonts w:hint="eastAsia" w:ascii="宋体" w:hAnsi="宋体"/>
                <w:b/>
                <w:color w:val="000000" w:themeColor="text1"/>
                <w:sz w:val="22"/>
                <w14:textFill>
                  <w14:solidFill>
                    <w14:schemeClr w14:val="tx1"/>
                  </w14:solidFill>
                </w14:textFill>
              </w:rPr>
              <w:t xml:space="preserve">  </w:t>
            </w:r>
            <w:r>
              <w:rPr>
                <w:rFonts w:ascii="宋体" w:hAnsi="宋体"/>
                <w:b/>
                <w:color w:val="000000" w:themeColor="text1"/>
                <w:sz w:val="22"/>
                <w14:textFill>
                  <w14:solidFill>
                    <w14:schemeClr w14:val="tx1"/>
                  </w14:solidFill>
                </w14:textFill>
              </w:rPr>
              <w:t>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52" w:hRule="atLeast"/>
          <w:jc w:val="center"/>
        </w:trPr>
        <w:tc>
          <w:tcPr>
            <w:tcW w:w="83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1</w:t>
            </w:r>
          </w:p>
        </w:tc>
        <w:tc>
          <w:tcPr>
            <w:tcW w:w="149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合格投标人</w:t>
            </w:r>
          </w:p>
        </w:tc>
        <w:tc>
          <w:tcPr>
            <w:tcW w:w="6033" w:type="dxa"/>
            <w:vAlign w:val="center"/>
          </w:tcPr>
          <w:p>
            <w:pPr>
              <w:pStyle w:val="6"/>
              <w:spacing w:line="400" w:lineRule="exact"/>
              <w:ind w:left="198" w:hanging="198" w:hangingChars="90"/>
              <w:rPr>
                <w:rFonts w:hint="eastAsia" w:ascii="宋体" w:hAnsi="宋体"/>
                <w:color w:val="000000" w:themeColor="text1"/>
                <w:kern w:val="0"/>
                <w:sz w:val="22"/>
                <w14:textFill>
                  <w14:solidFill>
                    <w14:schemeClr w14:val="tx1"/>
                  </w14:solidFill>
                </w14:textFill>
              </w:rPr>
            </w:pPr>
            <w:r>
              <w:rPr>
                <w:rFonts w:hint="eastAsia" w:ascii="宋体" w:hAnsi="宋体"/>
                <w:color w:val="000000" w:themeColor="text1"/>
                <w:kern w:val="0"/>
                <w:sz w:val="22"/>
                <w14:textFill>
                  <w14:solidFill>
                    <w14:schemeClr w14:val="tx1"/>
                  </w14:solidFill>
                </w14:textFill>
              </w:rPr>
              <w:t>1)投标人须符合《中华人民共和国政府采购法》第二十二条规定。</w:t>
            </w:r>
          </w:p>
          <w:p>
            <w:pPr>
              <w:pStyle w:val="6"/>
              <w:spacing w:line="400" w:lineRule="exact"/>
              <w:ind w:left="220" w:hanging="220" w:hangingChars="100"/>
              <w:rPr>
                <w:rFonts w:hint="eastAsia" w:ascii="宋体" w:hAnsi="宋体"/>
                <w:color w:val="000000" w:themeColor="text1"/>
                <w:kern w:val="0"/>
                <w:sz w:val="22"/>
                <w14:textFill>
                  <w14:solidFill>
                    <w14:schemeClr w14:val="tx1"/>
                  </w14:solidFill>
                </w14:textFill>
              </w:rPr>
            </w:pPr>
            <w:r>
              <w:rPr>
                <w:rFonts w:hint="eastAsia" w:ascii="宋体" w:hAnsi="宋体"/>
                <w:color w:val="000000" w:themeColor="text1"/>
                <w:kern w:val="0"/>
                <w:sz w:val="22"/>
                <w14:textFill>
                  <w14:solidFill>
                    <w14:schemeClr w14:val="tx1"/>
                  </w14:solidFill>
                </w14:textFill>
              </w:rPr>
              <w:t>2)</w:t>
            </w:r>
            <w:r>
              <w:rPr>
                <w:rFonts w:hint="eastAsia" w:ascii="宋体"/>
                <w:color w:val="000000" w:themeColor="text1"/>
                <w:sz w:val="22"/>
                <w14:textFill>
                  <w14:solidFill>
                    <w14:schemeClr w14:val="tx1"/>
                  </w14:solidFill>
                </w14:textFill>
              </w:rPr>
              <w:t>投标人的单位负责人为同一人或者存在直接控股、管理关系的不同投标人，不得参加同一合同项下的政府采购活动</w:t>
            </w:r>
            <w:r>
              <w:rPr>
                <w:rFonts w:hint="eastAsia" w:ascii="宋体" w:hAnsi="宋体"/>
                <w:color w:val="000000" w:themeColor="text1"/>
                <w:kern w:val="0"/>
                <w:sz w:val="22"/>
                <w14:textFill>
                  <w14:solidFill>
                    <w14:schemeClr w14:val="tx1"/>
                  </w14:solidFill>
                </w14:textFill>
              </w:rPr>
              <w:t>；为本项目提供整体设计、规范编制或者项目管理、监理、检测等服务的投标人，不得参加本采购项目的采购活动。</w:t>
            </w:r>
          </w:p>
          <w:p>
            <w:pPr>
              <w:pStyle w:val="6"/>
              <w:spacing w:line="400" w:lineRule="exact"/>
              <w:ind w:left="220" w:hanging="220" w:hangingChars="100"/>
              <w:rPr>
                <w:rFonts w:hint="eastAsia" w:ascii="宋体" w:hAnsi="宋体"/>
                <w:color w:val="000000" w:themeColor="text1"/>
                <w:kern w:val="0"/>
                <w:sz w:val="22"/>
                <w14:textFill>
                  <w14:solidFill>
                    <w14:schemeClr w14:val="tx1"/>
                  </w14:solidFill>
                </w14:textFill>
              </w:rPr>
            </w:pPr>
            <w:r>
              <w:rPr>
                <w:rFonts w:hint="eastAsia" w:ascii="宋体" w:hAnsi="宋体"/>
                <w:color w:val="000000" w:themeColor="text1"/>
                <w:kern w:val="0"/>
                <w:sz w:val="22"/>
                <w14:textFill>
                  <w14:solidFill>
                    <w14:schemeClr w14:val="tx1"/>
                  </w14:solidFill>
                </w14:textFill>
              </w:rPr>
              <w:t>3)投标人参加政府采购活动前三年内，在经营活动中没有重大违法记录。（须提供书面声明）</w:t>
            </w:r>
          </w:p>
          <w:p>
            <w:pPr>
              <w:pStyle w:val="6"/>
              <w:wordWrap w:val="0"/>
              <w:spacing w:line="400" w:lineRule="exact"/>
              <w:ind w:left="213" w:hanging="213" w:hangingChars="97"/>
              <w:rPr>
                <w:rFonts w:hint="eastAsia" w:ascii="宋体" w:hAnsi="宋体"/>
                <w:color w:val="000000" w:themeColor="text1"/>
                <w:kern w:val="0"/>
                <w:sz w:val="22"/>
                <w14:textFill>
                  <w14:solidFill>
                    <w14:schemeClr w14:val="tx1"/>
                  </w14:solidFill>
                </w14:textFill>
              </w:rPr>
            </w:pPr>
            <w:r>
              <w:rPr>
                <w:rFonts w:hint="eastAsia" w:ascii="宋体" w:hAnsi="宋体"/>
                <w:color w:val="000000" w:themeColor="text1"/>
                <w:kern w:val="0"/>
                <w:sz w:val="22"/>
                <w14:textFill>
                  <w14:solidFill>
                    <w14:schemeClr w14:val="tx1"/>
                  </w14:solidFill>
                </w14:textFill>
              </w:rPr>
              <w:t>4）</w:t>
            </w:r>
            <w:r>
              <w:rPr>
                <w:rFonts w:hint="eastAsia" w:ascii="宋体"/>
                <w:color w:val="000000" w:themeColor="text1"/>
                <w:sz w:val="22"/>
                <w14:textFill>
                  <w14:solidFill>
                    <w14:schemeClr w14:val="tx1"/>
                  </w14:solidFill>
                </w14:textFill>
              </w:rPr>
              <w:t>投标人</w:t>
            </w:r>
            <w:r>
              <w:rPr>
                <w:rFonts w:hint="eastAsia" w:ascii="宋体" w:hAnsi="宋体"/>
                <w:color w:val="000000" w:themeColor="text1"/>
                <w:kern w:val="0"/>
                <w:sz w:val="22"/>
                <w14:textFill>
                  <w14:solidFill>
                    <w14:schemeClr w14:val="tx1"/>
                  </w14:solidFill>
                </w14:textFill>
              </w:rPr>
              <w:t>未被列入“信用中国”网站(www.creditchina.gov.cn)“记录失信被执行人或重大税收违法案件当事人名单或政府采购严重违法失信行为”记录名单；未处于中国政府采购网(www.ccgp.gov.cn)“政府采购严重违法失信行为信息记录”中的禁止参加政府采购活动期间。（以招标代理机构投标截止日当天在“信用中国”网站（www.creditchina.gov.cn）及中国政府采购网(www.ccgp.gov.cn)查询结果为准，如相关失信记录已失效，投标人需提供相关证明资料）。</w:t>
            </w:r>
          </w:p>
          <w:p>
            <w:pPr>
              <w:pStyle w:val="6"/>
              <w:wordWrap w:val="0"/>
              <w:spacing w:line="400" w:lineRule="exact"/>
              <w:ind w:left="214" w:hanging="214" w:hangingChars="97"/>
              <w:rPr>
                <w:rFonts w:hint="eastAsia" w:ascii="宋体" w:hAnsi="宋体"/>
                <w:b/>
                <w:color w:val="000000" w:themeColor="text1"/>
                <w:kern w:val="0"/>
                <w:sz w:val="22"/>
                <w14:textFill>
                  <w14:solidFill>
                    <w14:schemeClr w14:val="tx1"/>
                  </w14:solidFill>
                </w14:textFill>
              </w:rPr>
            </w:pPr>
            <w:r>
              <w:rPr>
                <w:rFonts w:hint="eastAsia" w:ascii="宋体" w:hAnsi="宋体"/>
                <w:b/>
                <w:color w:val="000000" w:themeColor="text1"/>
                <w:kern w:val="0"/>
                <w:sz w:val="22"/>
                <w14:textFill>
                  <w14:solidFill>
                    <w14:schemeClr w14:val="tx1"/>
                  </w14:solidFill>
                </w14:textFill>
              </w:rPr>
              <w:t>特定资格条件：</w:t>
            </w:r>
            <w:r>
              <w:rPr>
                <w:rFonts w:hint="eastAsia" w:ascii="宋体"/>
                <w:b/>
                <w:color w:val="000000" w:themeColor="text1"/>
                <w:sz w:val="22"/>
                <w14:textFill>
                  <w14:solidFill>
                    <w14:schemeClr w14:val="tx1"/>
                  </w14:solidFill>
                </w14:textFill>
              </w:rPr>
              <w:t>投标人须在市级或以上相关部门住房与城乡建设局网站完成企业《信用管理手册》（房屋安全鉴定机构）或“备案证明”登记，并处于可用状态（须提供网上截图）。</w:t>
            </w:r>
          </w:p>
          <w:p>
            <w:pPr>
              <w:pStyle w:val="6"/>
              <w:spacing w:line="400" w:lineRule="exact"/>
              <w:ind w:firstLine="0" w:firstLineChars="0"/>
              <w:rPr>
                <w:rFonts w:ascii="宋体" w:hAnsi="宋体"/>
                <w:color w:val="000000" w:themeColor="text1"/>
                <w:kern w:val="0"/>
                <w:sz w:val="22"/>
                <w14:textFill>
                  <w14:solidFill>
                    <w14:schemeClr w14:val="tx1"/>
                  </w14:solidFill>
                </w14:textFill>
              </w:rPr>
            </w:pPr>
            <w:r>
              <w:rPr>
                <w:rFonts w:hint="eastAsia" w:ascii="宋体" w:hAnsi="宋体"/>
                <w:color w:val="000000" w:themeColor="text1"/>
                <w:kern w:val="0"/>
                <w:sz w:val="22"/>
                <w14:textFill>
                  <w14:solidFill>
                    <w14:schemeClr w14:val="tx1"/>
                  </w14:solidFill>
                </w14:textFill>
              </w:rPr>
              <w:t>注：本项目不接受联合体投标。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3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2</w:t>
            </w:r>
          </w:p>
        </w:tc>
        <w:tc>
          <w:tcPr>
            <w:tcW w:w="149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完成期</w:t>
            </w:r>
          </w:p>
        </w:tc>
        <w:tc>
          <w:tcPr>
            <w:tcW w:w="6033" w:type="dxa"/>
            <w:vAlign w:val="center"/>
          </w:tcPr>
          <w:p>
            <w:pPr>
              <w:spacing w:line="400" w:lineRule="exact"/>
              <w:rPr>
                <w:rFonts w:hint="eastAsia" w:ascii="宋体" w:cs="宋体"/>
                <w:bCs/>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发出进场通知后45个日历日内完成服务内容，并且要求30个日历日内完成与校园现场相关的各项调查、检查、检测和既有建筑物在鉴定过程中有所破坏的地方按原貌进行恢复等工作。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11" w:hRule="atLeast"/>
          <w:jc w:val="center"/>
        </w:trPr>
        <w:tc>
          <w:tcPr>
            <w:tcW w:w="83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3</w:t>
            </w:r>
          </w:p>
        </w:tc>
        <w:tc>
          <w:tcPr>
            <w:tcW w:w="1496" w:type="dxa"/>
            <w:vAlign w:val="center"/>
          </w:tcPr>
          <w:p>
            <w:pPr>
              <w:numPr>
                <w:ilvl w:val="1"/>
                <w:numId w:val="0"/>
              </w:numPr>
              <w:tabs>
                <w:tab w:val="left" w:pos="-28"/>
              </w:tabs>
              <w:spacing w:line="36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付款方式</w:t>
            </w:r>
          </w:p>
        </w:tc>
        <w:tc>
          <w:tcPr>
            <w:tcW w:w="6033" w:type="dxa"/>
            <w:vAlign w:val="center"/>
          </w:tcPr>
          <w:p>
            <w:pPr>
              <w:tabs>
                <w:tab w:val="left" w:pos="-28"/>
              </w:tabs>
              <w:spacing w:line="360" w:lineRule="exact"/>
              <w:jc w:val="left"/>
              <w:rPr>
                <w:rFonts w:hint="eastAsia" w:ascii="宋体" w:hAnsi="宋体" w:cs="宋体"/>
                <w:color w:val="000000" w:themeColor="text1"/>
                <w:sz w:val="22"/>
                <w:szCs w:val="22"/>
                <w:u w:val="single"/>
                <w14:textFill>
                  <w14:solidFill>
                    <w14:schemeClr w14:val="tx1"/>
                  </w14:solidFill>
                </w14:textFill>
              </w:rPr>
            </w:pPr>
            <w:r>
              <w:rPr>
                <w:rFonts w:hint="eastAsia" w:ascii="宋体" w:hAnsi="宋体" w:cs="宋体"/>
                <w:color w:val="000000" w:themeColor="text1"/>
                <w:sz w:val="22"/>
                <w:szCs w:val="22"/>
                <w:u w:val="single"/>
                <w14:textFill>
                  <w14:solidFill>
                    <w14:schemeClr w14:val="tx1"/>
                  </w14:solidFill>
                </w14:textFill>
              </w:rPr>
              <w:t>签订合同，</w:t>
            </w:r>
            <w:r>
              <w:rPr>
                <w:rFonts w:hint="eastAsia" w:ascii="宋体" w:hAnsi="宋体" w:cs="宋体"/>
                <w:bCs/>
                <w:color w:val="000000" w:themeColor="text1"/>
                <w:sz w:val="22"/>
                <w:szCs w:val="22"/>
                <w:u w:val="single"/>
                <w14:textFill>
                  <w14:solidFill>
                    <w14:schemeClr w14:val="tx1"/>
                  </w14:solidFill>
                </w14:textFill>
              </w:rPr>
              <w:t>校园房屋结构及抗震鉴定检测报告</w:t>
            </w:r>
            <w:r>
              <w:rPr>
                <w:rFonts w:hint="eastAsia" w:ascii="宋体" w:hAnsi="宋体" w:cs="宋体"/>
                <w:color w:val="000000" w:themeColor="text1"/>
                <w:sz w:val="22"/>
                <w:szCs w:val="22"/>
                <w:u w:val="single"/>
                <w14:textFill>
                  <w14:solidFill>
                    <w14:schemeClr w14:val="tx1"/>
                  </w14:solidFill>
                </w14:textFill>
              </w:rPr>
              <w:t>审查通过，对校园内的既有建筑物在鉴定过程中有所破坏的地方按原貌进行恢复，并提交请款报告后，支付至合同总款的70％，</w:t>
            </w:r>
            <w:r>
              <w:rPr>
                <w:rFonts w:hint="eastAsia" w:ascii="宋体" w:hAnsi="宋体" w:cs="宋体"/>
                <w:bCs/>
                <w:color w:val="000000" w:themeColor="text1"/>
                <w:sz w:val="22"/>
                <w:szCs w:val="22"/>
                <w:u w:val="single"/>
                <w14:textFill>
                  <w14:solidFill>
                    <w14:schemeClr w14:val="tx1"/>
                  </w14:solidFill>
                </w14:textFill>
              </w:rPr>
              <w:t>校园房屋结构及抗震鉴定检测报告</w:t>
            </w:r>
            <w:r>
              <w:rPr>
                <w:rFonts w:hint="eastAsia" w:ascii="宋体" w:hAnsi="宋体" w:cs="宋体"/>
                <w:color w:val="000000" w:themeColor="text1"/>
                <w:sz w:val="22"/>
                <w:szCs w:val="22"/>
                <w:u w:val="single"/>
                <w14:textFill>
                  <w14:solidFill>
                    <w14:schemeClr w14:val="tx1"/>
                  </w14:solidFill>
                </w14:textFill>
              </w:rPr>
              <w:t>通过有关部门审批后、没其他售后问题，支付合同总额的30％。</w:t>
            </w:r>
          </w:p>
          <w:p>
            <w:pPr>
              <w:tabs>
                <w:tab w:val="left" w:pos="-28"/>
              </w:tabs>
              <w:spacing w:line="360" w:lineRule="exact"/>
              <w:jc w:val="left"/>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注：中标人应在采购人支付合同金额前，将发票送至采购人；发票抬头名称与采购人名称一致。付款时间以付款划出款项之日为准。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48" w:hRule="atLeast"/>
          <w:jc w:val="center"/>
        </w:trPr>
        <w:tc>
          <w:tcPr>
            <w:tcW w:w="83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4</w:t>
            </w:r>
          </w:p>
        </w:tc>
        <w:tc>
          <w:tcPr>
            <w:tcW w:w="149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服务地点</w:t>
            </w:r>
          </w:p>
        </w:tc>
        <w:tc>
          <w:tcPr>
            <w:tcW w:w="6033" w:type="dxa"/>
            <w:vAlign w:val="center"/>
          </w:tcPr>
          <w:p>
            <w:pPr>
              <w:spacing w:line="400" w:lineRule="exact"/>
              <w:ind w:right="25"/>
              <w:rPr>
                <w:rFonts w:hint="eastAsia" w:ascii="宋体" w:hAnsi="宋体"/>
                <w:bCs/>
                <w:color w:val="000000" w:themeColor="text1"/>
                <w:sz w:val="22"/>
                <w14:textFill>
                  <w14:solidFill>
                    <w14:schemeClr w14:val="tx1"/>
                  </w14:solidFill>
                </w14:textFill>
              </w:rPr>
            </w:pPr>
            <w:r>
              <w:rPr>
                <w:rFonts w:hint="eastAsia" w:ascii="宋体" w:hAnsi="宋体"/>
                <w:bCs/>
                <w:color w:val="000000" w:themeColor="text1"/>
                <w:sz w:val="22"/>
                <w14:textFill>
                  <w14:solidFill>
                    <w14:schemeClr w14:val="tx1"/>
                  </w14:solidFill>
                </w14:textFill>
              </w:rPr>
              <w:t>采购人指定地点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160" w:hRule="atLeast"/>
          <w:jc w:val="center"/>
        </w:trPr>
        <w:tc>
          <w:tcPr>
            <w:tcW w:w="83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5</w:t>
            </w:r>
          </w:p>
        </w:tc>
        <w:tc>
          <w:tcPr>
            <w:tcW w:w="149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报价内容</w:t>
            </w:r>
          </w:p>
        </w:tc>
        <w:tc>
          <w:tcPr>
            <w:tcW w:w="6033" w:type="dxa"/>
            <w:vAlign w:val="center"/>
          </w:tcPr>
          <w:p>
            <w:pPr>
              <w:numPr>
                <w:ilvl w:val="1"/>
                <w:numId w:val="0"/>
              </w:numPr>
              <w:tabs>
                <w:tab w:val="left" w:pos="-28"/>
              </w:tabs>
              <w:spacing w:line="360" w:lineRule="exact"/>
              <w:jc w:val="left"/>
              <w:rPr>
                <w:rFonts w:hint="eastAsia" w:ascii="宋体" w:hAnsi="宋体"/>
                <w:color w:val="000000" w:themeColor="text1"/>
                <w:sz w:val="22"/>
                <w14:textFill>
                  <w14:solidFill>
                    <w14:schemeClr w14:val="tx1"/>
                  </w14:solidFill>
                </w14:textFill>
              </w:rPr>
            </w:pPr>
            <w:r>
              <w:rPr>
                <w:rFonts w:hint="eastAsia" w:hAnsi="宋体"/>
                <w:bCs/>
                <w:color w:val="000000" w:themeColor="text1"/>
                <w:sz w:val="22"/>
                <w:szCs w:val="22"/>
                <w14:textFill>
                  <w14:solidFill>
                    <w14:schemeClr w14:val="tx1"/>
                  </w14:solidFill>
                </w14:textFill>
              </w:rPr>
              <w:t>报价应包含完成本次招标所有服务内容的费用，包括人工费、材料费、设备使用费、各种税务费、必须的辅助材料费及合同实施过程中不可预见费用等全部费用。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3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6</w:t>
            </w:r>
          </w:p>
        </w:tc>
        <w:tc>
          <w:tcPr>
            <w:tcW w:w="1496" w:type="dxa"/>
            <w:vAlign w:val="center"/>
          </w:tcPr>
          <w:p>
            <w:pPr>
              <w:spacing w:line="400" w:lineRule="exact"/>
              <w:jc w:val="center"/>
              <w:rPr>
                <w:rFonts w:hint="eastAsia"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合同条款</w:t>
            </w:r>
          </w:p>
        </w:tc>
        <w:tc>
          <w:tcPr>
            <w:tcW w:w="6033" w:type="dxa"/>
            <w:vAlign w:val="top"/>
          </w:tcPr>
          <w:p>
            <w:pPr>
              <w:spacing w:line="400" w:lineRule="exact"/>
              <w:rPr>
                <w:rFonts w:hint="eastAsia" w:ascii="宋体" w:hAnsi="宋体"/>
                <w:b/>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投标人实质响应合同各条款。</w:t>
            </w:r>
          </w:p>
        </w:tc>
      </w:tr>
    </w:tbl>
    <w:p>
      <w:pPr>
        <w:rPr>
          <w:rFonts w:hint="eastAsia" w:ascii="宋体" w:hAnsi="宋体"/>
          <w:color w:val="000000" w:themeColor="text1"/>
          <w14:textFill>
            <w14:solidFill>
              <w14:schemeClr w14:val="tx1"/>
            </w14:solidFill>
          </w14:textFill>
        </w:rPr>
      </w:pPr>
    </w:p>
    <w:p>
      <w:pPr>
        <w:spacing w:line="360" w:lineRule="auto"/>
        <w:jc w:val="center"/>
        <w:rPr>
          <w:rFonts w:hint="eastAsia"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第二部分 技术需求书</w:t>
      </w:r>
    </w:p>
    <w:p>
      <w:pPr>
        <w:tabs>
          <w:tab w:val="left" w:pos="567"/>
        </w:tabs>
        <w:spacing w:line="420" w:lineRule="exact"/>
        <w:rPr>
          <w:rFonts w:ascii="宋体" w:hAnsi="宋体" w:cs="仿宋_GB2312"/>
          <w:b/>
          <w:color w:val="000000" w:themeColor="text1"/>
          <w:sz w:val="22"/>
          <w:szCs w:val="22"/>
          <w14:textFill>
            <w14:solidFill>
              <w14:schemeClr w14:val="tx1"/>
            </w14:solidFill>
          </w14:textFill>
        </w:rPr>
      </w:pPr>
      <w:r>
        <w:rPr>
          <w:rFonts w:hint="eastAsia" w:ascii="宋体" w:hAnsi="宋体" w:cs="仿宋_GB2312"/>
          <w:b/>
          <w:color w:val="000000" w:themeColor="text1"/>
          <w:sz w:val="22"/>
          <w:szCs w:val="22"/>
          <w14:textFill>
            <w14:solidFill>
              <w14:schemeClr w14:val="tx1"/>
            </w14:solidFill>
          </w14:textFill>
        </w:rPr>
        <w:t>一、项目概况</w:t>
      </w:r>
    </w:p>
    <w:p>
      <w:pPr>
        <w:spacing w:line="420" w:lineRule="exact"/>
        <w:ind w:firstLine="440" w:firstLineChars="200"/>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东莞市莞城小学校舍部分既有建筑物于2009至2011年 “校安工程”已经进行结构或者抗震鉴定，但鉴定工作已完成超过5年，还有部分建造年份较早的非教学类配套建筑物没有鉴定检测。因此，根据东府办〔2009〕123号《关于印〈发东莞市中小学校舍安全工程实施方案〉的通知》和东莞市人民政府令第144号《东莞市房屋使用安全管理规定》的文件精神，东莞市莞城区小学校舍既有建筑物结构安全检查、鉴定和抗震评估项目主要为，鉴定工作已完成超过5年需要进行结构安全检查的既有建筑物，具体详见下表：</w:t>
      </w:r>
    </w:p>
    <w:tbl>
      <w:tblPr>
        <w:tblStyle w:val="4"/>
        <w:tblW w:w="8865" w:type="dxa"/>
        <w:jc w:val="center"/>
        <w:tblInd w:w="0" w:type="dxa"/>
        <w:tblLayout w:type="fixed"/>
        <w:tblCellMar>
          <w:top w:w="0" w:type="dxa"/>
          <w:left w:w="108" w:type="dxa"/>
          <w:bottom w:w="0" w:type="dxa"/>
          <w:right w:w="108" w:type="dxa"/>
        </w:tblCellMar>
      </w:tblPr>
      <w:tblGrid>
        <w:gridCol w:w="2300"/>
        <w:gridCol w:w="1540"/>
        <w:gridCol w:w="1135"/>
        <w:gridCol w:w="560"/>
        <w:gridCol w:w="3330"/>
      </w:tblGrid>
      <w:tr>
        <w:tblPrEx>
          <w:tblLayout w:type="fixed"/>
          <w:tblCellMar>
            <w:top w:w="0" w:type="dxa"/>
            <w:left w:w="108" w:type="dxa"/>
            <w:bottom w:w="0" w:type="dxa"/>
            <w:right w:w="108" w:type="dxa"/>
          </w:tblCellMar>
        </w:tblPrEx>
        <w:trPr>
          <w:trHeight w:val="480" w:hRule="atLeast"/>
          <w:jc w:val="center"/>
        </w:trPr>
        <w:tc>
          <w:tcPr>
            <w:tcW w:w="230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单位名称</w:t>
            </w:r>
          </w:p>
        </w:tc>
        <w:tc>
          <w:tcPr>
            <w:tcW w:w="1540" w:type="dxa"/>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建筑物名称</w:t>
            </w:r>
          </w:p>
        </w:tc>
        <w:tc>
          <w:tcPr>
            <w:tcW w:w="1135" w:type="dxa"/>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建筑面积（㎡）</w:t>
            </w:r>
          </w:p>
        </w:tc>
        <w:tc>
          <w:tcPr>
            <w:tcW w:w="560" w:type="dxa"/>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层数</w:t>
            </w:r>
          </w:p>
        </w:tc>
        <w:tc>
          <w:tcPr>
            <w:tcW w:w="3330" w:type="dxa"/>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备注</w:t>
            </w:r>
          </w:p>
        </w:tc>
      </w:tr>
      <w:tr>
        <w:tblPrEx>
          <w:tblLayout w:type="fixed"/>
          <w:tblCellMar>
            <w:top w:w="0" w:type="dxa"/>
            <w:left w:w="108" w:type="dxa"/>
            <w:bottom w:w="0" w:type="dxa"/>
            <w:right w:w="108" w:type="dxa"/>
          </w:tblCellMar>
        </w:tblPrEx>
        <w:trPr>
          <w:trHeight w:val="480" w:hRule="atLeast"/>
          <w:jc w:val="center"/>
        </w:trPr>
        <w:tc>
          <w:tcPr>
            <w:tcW w:w="2300" w:type="dxa"/>
            <w:vMerge w:val="restart"/>
            <w:tcBorders>
              <w:top w:val="nil"/>
              <w:left w:val="single" w:color="auto" w:sz="4" w:space="0"/>
              <w:bottom w:val="nil"/>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东莞市莞城中心小学</w:t>
            </w: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A区教学楼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11833</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2010年建成使用</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nil"/>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B区教学楼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8767</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2010年建成使用</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nil"/>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六号楼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2610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旧建设校区，2009年鉴定为C级，2014年加固使用，中心低年级校区</w:t>
            </w:r>
          </w:p>
        </w:tc>
      </w:tr>
      <w:tr>
        <w:tblPrEx>
          <w:tblLayout w:type="fixed"/>
          <w:tblCellMar>
            <w:top w:w="0" w:type="dxa"/>
            <w:left w:w="108" w:type="dxa"/>
            <w:bottom w:w="0" w:type="dxa"/>
            <w:right w:w="108" w:type="dxa"/>
          </w:tblCellMar>
        </w:tblPrEx>
        <w:trPr>
          <w:trHeight w:val="480" w:hRule="atLeast"/>
          <w:jc w:val="center"/>
        </w:trPr>
        <w:tc>
          <w:tcPr>
            <w:tcW w:w="3840" w:type="dxa"/>
            <w:gridSpan w:val="2"/>
            <w:tcBorders>
              <w:top w:val="single" w:color="auto" w:sz="4" w:space="0"/>
              <w:left w:val="single" w:color="auto" w:sz="4" w:space="0"/>
              <w:bottom w:val="single" w:color="auto" w:sz="4" w:space="0"/>
              <w:right w:val="single" w:color="000000"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面积小计</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23209</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r>
      <w:tr>
        <w:tblPrEx>
          <w:tblLayout w:type="fixed"/>
          <w:tblCellMar>
            <w:top w:w="0" w:type="dxa"/>
            <w:left w:w="108" w:type="dxa"/>
            <w:bottom w:w="0" w:type="dxa"/>
            <w:right w:w="108" w:type="dxa"/>
          </w:tblCellMar>
        </w:tblPrEx>
        <w:trPr>
          <w:trHeight w:val="480" w:hRule="atLeast"/>
          <w:jc w:val="center"/>
        </w:trPr>
        <w:tc>
          <w:tcPr>
            <w:tcW w:w="2300" w:type="dxa"/>
            <w:vMerge w:val="restart"/>
            <w:tcBorders>
              <w:top w:val="nil"/>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东莞市莞城实验小学</w:t>
            </w: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5692</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7</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2000年验收为合格工程，2009年城建部门排查意见，只需做抗震鉴定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教学综合楼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11305</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2005年验收为合格工程，2009年城建部门排查意见，只需做抗震鉴定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门卫室及电房</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109</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大门及门卫室</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134</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2009年鉴定为C级，2011年加固使用</w:t>
            </w:r>
          </w:p>
        </w:tc>
      </w:tr>
      <w:tr>
        <w:tblPrEx>
          <w:tblLayout w:type="fixed"/>
          <w:tblCellMar>
            <w:top w:w="0" w:type="dxa"/>
            <w:left w:w="108" w:type="dxa"/>
            <w:bottom w:w="0" w:type="dxa"/>
            <w:right w:w="108" w:type="dxa"/>
          </w:tblCellMar>
        </w:tblPrEx>
        <w:trPr>
          <w:trHeight w:val="480" w:hRule="atLeast"/>
          <w:jc w:val="center"/>
        </w:trPr>
        <w:tc>
          <w:tcPr>
            <w:tcW w:w="3840" w:type="dxa"/>
            <w:gridSpan w:val="2"/>
            <w:tcBorders>
              <w:top w:val="single" w:color="auto" w:sz="4" w:space="0"/>
              <w:left w:val="single" w:color="auto" w:sz="4" w:space="0"/>
              <w:bottom w:val="single" w:color="auto" w:sz="4" w:space="0"/>
              <w:right w:val="single" w:color="000000"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面积小计</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17240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r>
      <w:tr>
        <w:tblPrEx>
          <w:tblLayout w:type="fixed"/>
          <w:tblCellMar>
            <w:top w:w="0" w:type="dxa"/>
            <w:left w:w="108" w:type="dxa"/>
            <w:bottom w:w="0" w:type="dxa"/>
            <w:right w:w="108" w:type="dxa"/>
          </w:tblCellMar>
        </w:tblPrEx>
        <w:trPr>
          <w:trHeight w:val="480" w:hRule="atLeast"/>
          <w:jc w:val="center"/>
        </w:trPr>
        <w:tc>
          <w:tcPr>
            <w:tcW w:w="2300" w:type="dxa"/>
            <w:vMerge w:val="restart"/>
            <w:tcBorders>
              <w:top w:val="nil"/>
              <w:left w:val="single" w:color="auto" w:sz="4" w:space="0"/>
              <w:bottom w:val="single" w:color="000000"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东莞市莞城步步高小学</w:t>
            </w: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教学楼(旧)</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5200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教学楼(新)</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11822</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7</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2010年建成使用</w:t>
            </w:r>
          </w:p>
        </w:tc>
      </w:tr>
      <w:tr>
        <w:tblPrEx>
          <w:tblLayout w:type="fixed"/>
          <w:tblCellMar>
            <w:top w:w="0" w:type="dxa"/>
            <w:left w:w="108" w:type="dxa"/>
            <w:bottom w:w="0" w:type="dxa"/>
            <w:right w:w="108" w:type="dxa"/>
          </w:tblCellMar>
        </w:tblPrEx>
        <w:trPr>
          <w:trHeight w:val="480" w:hRule="atLeast"/>
          <w:jc w:val="center"/>
        </w:trPr>
        <w:tc>
          <w:tcPr>
            <w:tcW w:w="3840" w:type="dxa"/>
            <w:gridSpan w:val="2"/>
            <w:tcBorders>
              <w:top w:val="single" w:color="auto" w:sz="4" w:space="0"/>
              <w:left w:val="single" w:color="auto" w:sz="4" w:space="0"/>
              <w:bottom w:val="single" w:color="auto" w:sz="4" w:space="0"/>
              <w:right w:val="single" w:color="000000"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面积小计</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17022</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r>
      <w:tr>
        <w:tblPrEx>
          <w:tblLayout w:type="fixed"/>
          <w:tblCellMar>
            <w:top w:w="0" w:type="dxa"/>
            <w:left w:w="108" w:type="dxa"/>
            <w:bottom w:w="0" w:type="dxa"/>
            <w:right w:w="108" w:type="dxa"/>
          </w:tblCellMar>
        </w:tblPrEx>
        <w:trPr>
          <w:trHeight w:val="480" w:hRule="atLeast"/>
          <w:jc w:val="center"/>
        </w:trPr>
        <w:tc>
          <w:tcPr>
            <w:tcW w:w="2300" w:type="dxa"/>
            <w:vMerge w:val="restart"/>
            <w:tcBorders>
              <w:top w:val="nil"/>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东莞市莞城阮涌小学</w:t>
            </w: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3986</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教学副楼1</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658</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教学副楼2</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585</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科技楼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642</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食堂楼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585</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2014年收回旧民房加固后使用</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正门楼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144</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2015年建成使用</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侧门楼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300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2015年建成使用</w:t>
            </w:r>
          </w:p>
        </w:tc>
      </w:tr>
      <w:tr>
        <w:tblPrEx>
          <w:tblLayout w:type="fixed"/>
          <w:tblCellMar>
            <w:top w:w="0" w:type="dxa"/>
            <w:left w:w="108" w:type="dxa"/>
            <w:bottom w:w="0" w:type="dxa"/>
            <w:right w:w="108" w:type="dxa"/>
          </w:tblCellMar>
        </w:tblPrEx>
        <w:trPr>
          <w:trHeight w:val="480" w:hRule="atLeast"/>
          <w:jc w:val="center"/>
        </w:trPr>
        <w:tc>
          <w:tcPr>
            <w:tcW w:w="3840" w:type="dxa"/>
            <w:gridSpan w:val="2"/>
            <w:tcBorders>
              <w:top w:val="single" w:color="auto" w:sz="4" w:space="0"/>
              <w:left w:val="single" w:color="auto" w:sz="4" w:space="0"/>
              <w:bottom w:val="single" w:color="auto" w:sz="4" w:space="0"/>
              <w:right w:val="single" w:color="000000"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面积小计</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6900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r>
      <w:tr>
        <w:tblPrEx>
          <w:tblLayout w:type="fixed"/>
          <w:tblCellMar>
            <w:top w:w="0" w:type="dxa"/>
            <w:left w:w="108" w:type="dxa"/>
            <w:bottom w:w="0" w:type="dxa"/>
            <w:right w:w="108" w:type="dxa"/>
          </w:tblCellMar>
        </w:tblPrEx>
        <w:trPr>
          <w:trHeight w:val="480" w:hRule="atLeast"/>
          <w:jc w:val="center"/>
        </w:trPr>
        <w:tc>
          <w:tcPr>
            <w:tcW w:w="2300" w:type="dxa"/>
            <w:tcBorders>
              <w:top w:val="nil"/>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东莞市莞城运河小学</w:t>
            </w: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教学楼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5140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2009年鉴定为C级，2011年加固使用</w:t>
            </w:r>
          </w:p>
        </w:tc>
      </w:tr>
      <w:tr>
        <w:tblPrEx>
          <w:tblLayout w:type="fixed"/>
          <w:tblCellMar>
            <w:top w:w="0" w:type="dxa"/>
            <w:left w:w="108" w:type="dxa"/>
            <w:bottom w:w="0" w:type="dxa"/>
            <w:right w:w="108" w:type="dxa"/>
          </w:tblCellMar>
        </w:tblPrEx>
        <w:trPr>
          <w:trHeight w:val="480" w:hRule="atLeast"/>
          <w:jc w:val="center"/>
        </w:trPr>
        <w:tc>
          <w:tcPr>
            <w:tcW w:w="3840" w:type="dxa"/>
            <w:gridSpan w:val="2"/>
            <w:tcBorders>
              <w:top w:val="single" w:color="auto" w:sz="4" w:space="0"/>
              <w:left w:val="single" w:color="auto" w:sz="4" w:space="0"/>
              <w:bottom w:val="single" w:color="auto" w:sz="4" w:space="0"/>
              <w:right w:val="single" w:color="000000"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面积小计</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5140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r>
      <w:tr>
        <w:tblPrEx>
          <w:tblLayout w:type="fixed"/>
          <w:tblCellMar>
            <w:top w:w="0" w:type="dxa"/>
            <w:left w:w="108" w:type="dxa"/>
            <w:bottom w:w="0" w:type="dxa"/>
            <w:right w:w="108" w:type="dxa"/>
          </w:tblCellMar>
        </w:tblPrEx>
        <w:trPr>
          <w:trHeight w:val="480" w:hRule="atLeast"/>
          <w:jc w:val="center"/>
        </w:trPr>
        <w:tc>
          <w:tcPr>
            <w:tcW w:w="2300" w:type="dxa"/>
            <w:vMerge w:val="restart"/>
            <w:tcBorders>
              <w:top w:val="nil"/>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东莞市莞城中心小学分校</w:t>
            </w: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财务楼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146</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2011年鉴定为B级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连廊</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423</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2011年鉴定为B级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旧教学楼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4372</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2011年鉴定为B级</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新教学楼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3900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2011年鉴定为B级</w:t>
            </w:r>
          </w:p>
        </w:tc>
      </w:tr>
      <w:tr>
        <w:tblPrEx>
          <w:tblLayout w:type="fixed"/>
          <w:tblCellMar>
            <w:top w:w="0" w:type="dxa"/>
            <w:left w:w="108" w:type="dxa"/>
            <w:bottom w:w="0" w:type="dxa"/>
            <w:right w:w="108" w:type="dxa"/>
          </w:tblCellMar>
        </w:tblPrEx>
        <w:trPr>
          <w:trHeight w:val="480" w:hRule="atLeast"/>
          <w:jc w:val="center"/>
        </w:trPr>
        <w:tc>
          <w:tcPr>
            <w:tcW w:w="3840" w:type="dxa"/>
            <w:gridSpan w:val="2"/>
            <w:tcBorders>
              <w:top w:val="single" w:color="auto" w:sz="4" w:space="0"/>
              <w:left w:val="single" w:color="auto" w:sz="4" w:space="0"/>
              <w:bottom w:val="single" w:color="auto" w:sz="4" w:space="0"/>
              <w:right w:val="single" w:color="000000"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面积小计</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8841</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r>
      <w:tr>
        <w:tblPrEx>
          <w:tblLayout w:type="fixed"/>
          <w:tblCellMar>
            <w:top w:w="0" w:type="dxa"/>
            <w:left w:w="108" w:type="dxa"/>
            <w:bottom w:w="0" w:type="dxa"/>
            <w:right w:w="108" w:type="dxa"/>
          </w:tblCellMar>
        </w:tblPrEx>
        <w:trPr>
          <w:trHeight w:val="480" w:hRule="atLeast"/>
          <w:jc w:val="center"/>
        </w:trPr>
        <w:tc>
          <w:tcPr>
            <w:tcW w:w="2300" w:type="dxa"/>
            <w:vMerge w:val="restart"/>
            <w:tcBorders>
              <w:top w:val="nil"/>
              <w:left w:val="single" w:color="auto" w:sz="4" w:space="0"/>
              <w:bottom w:val="single" w:color="000000"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东莞市莞城英文实验学校</w:t>
            </w: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东楼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1680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南楼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5233</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西楼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3476</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北楼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3212</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办公楼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3825</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塔楼</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3911</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2006年验收为合格工程，2009年城建部门排查意见，只需做抗震鉴定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宿舍（一）</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3177</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宿舍（二）</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3898</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宿舍（三）</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4060</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2004年验收为合格工程，2009年城建部门排查意见，只需做抗震鉴定</w:t>
            </w:r>
          </w:p>
        </w:tc>
      </w:tr>
      <w:tr>
        <w:tblPrEx>
          <w:tblLayout w:type="fixed"/>
          <w:tblCellMar>
            <w:top w:w="0" w:type="dxa"/>
            <w:left w:w="108" w:type="dxa"/>
            <w:bottom w:w="0" w:type="dxa"/>
            <w:right w:w="108" w:type="dxa"/>
          </w:tblCellMar>
        </w:tblPrEx>
        <w:trPr>
          <w:trHeight w:val="480" w:hRule="atLeast"/>
          <w:jc w:val="center"/>
        </w:trPr>
        <w:tc>
          <w:tcPr>
            <w:tcW w:w="2300" w:type="dxa"/>
            <w:vMerge w:val="continue"/>
            <w:tcBorders>
              <w:top w:val="nil"/>
              <w:left w:val="single" w:color="auto" w:sz="4" w:space="0"/>
              <w:bottom w:val="single" w:color="000000"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p>
        </w:tc>
        <w:tc>
          <w:tcPr>
            <w:tcW w:w="154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附属建筑面积</w:t>
            </w:r>
          </w:p>
        </w:tc>
        <w:tc>
          <w:tcPr>
            <w:tcW w:w="1135"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1309</w:t>
            </w:r>
          </w:p>
        </w:tc>
        <w:tc>
          <w:tcPr>
            <w:tcW w:w="560" w:type="dxa"/>
            <w:tcBorders>
              <w:top w:val="nil"/>
              <w:left w:val="nil"/>
              <w:bottom w:val="single" w:color="auto" w:sz="4" w:space="0"/>
              <w:right w:val="single" w:color="auto" w:sz="4" w:space="0"/>
            </w:tcBorders>
            <w:vAlign w:val="center"/>
          </w:tcPr>
          <w:p>
            <w:pPr>
              <w:widowControl/>
              <w:spacing w:line="4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c>
          <w:tcPr>
            <w:tcW w:w="3330" w:type="dxa"/>
            <w:tcBorders>
              <w:top w:val="nil"/>
              <w:left w:val="nil"/>
              <w:bottom w:val="single" w:color="auto" w:sz="4" w:space="0"/>
              <w:right w:val="single" w:color="auto" w:sz="4" w:space="0"/>
            </w:tcBorders>
            <w:vAlign w:val="center"/>
          </w:tcPr>
          <w:p>
            <w:pPr>
              <w:widowControl/>
              <w:spacing w:line="42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其中门卫室、仓库鉴定为B级</w:t>
            </w:r>
          </w:p>
        </w:tc>
      </w:tr>
    </w:tbl>
    <w:p>
      <w:pPr>
        <w:widowControl/>
        <w:spacing w:line="420" w:lineRule="exact"/>
        <w:ind w:firstLine="221" w:firstLineChars="100"/>
        <w:rPr>
          <w:rFonts w:ascii="宋体" w:hAnsi="宋体" w:cs="仿宋_GB2312"/>
          <w:b/>
          <w:bCs/>
          <w:color w:val="000000" w:themeColor="text1"/>
          <w:sz w:val="22"/>
          <w:szCs w:val="22"/>
          <w14:textFill>
            <w14:solidFill>
              <w14:schemeClr w14:val="tx1"/>
            </w14:solidFill>
          </w14:textFill>
        </w:rPr>
      </w:pPr>
      <w:r>
        <w:rPr>
          <w:rFonts w:hint="eastAsia" w:ascii="宋体" w:hAnsi="宋体" w:cs="仿宋_GB2312"/>
          <w:b/>
          <w:bCs/>
          <w:color w:val="000000" w:themeColor="text1"/>
          <w:sz w:val="22"/>
          <w:szCs w:val="22"/>
          <w14:textFill>
            <w14:solidFill>
              <w14:schemeClr w14:val="tx1"/>
            </w14:solidFill>
          </w14:textFill>
        </w:rPr>
        <w:t>备注：以上建筑面积仅供参考，实际建筑面积以既有建筑物鉴定单位到现场勘查为准，中标后不得以任何理由增加费用。</w:t>
      </w:r>
    </w:p>
    <w:p>
      <w:pPr>
        <w:tabs>
          <w:tab w:val="left" w:pos="567"/>
        </w:tabs>
        <w:spacing w:line="420" w:lineRule="exact"/>
        <w:rPr>
          <w:rFonts w:ascii="宋体" w:hAnsi="宋体" w:cs="Arial"/>
          <w:b/>
          <w:color w:val="000000" w:themeColor="text1"/>
          <w:sz w:val="22"/>
          <w:szCs w:val="22"/>
          <w14:textFill>
            <w14:solidFill>
              <w14:schemeClr w14:val="tx1"/>
            </w14:solidFill>
          </w14:textFill>
        </w:rPr>
      </w:pPr>
      <w:r>
        <w:rPr>
          <w:rFonts w:ascii="宋体" w:hAnsi="宋体" w:cs="仿宋_GB2312"/>
          <w:color w:val="000000" w:themeColor="text1"/>
          <w:sz w:val="22"/>
          <w:szCs w:val="22"/>
          <w14:textFill>
            <w14:solidFill>
              <w14:schemeClr w14:val="tx1"/>
            </w14:solidFill>
          </w14:textFill>
        </w:rPr>
        <w:t xml:space="preserve"> </w:t>
      </w:r>
      <w:r>
        <w:rPr>
          <w:rFonts w:hint="eastAsia" w:ascii="宋体" w:hAnsi="宋体"/>
          <w:color w:val="000000" w:themeColor="text1"/>
          <w:sz w:val="22"/>
          <w:szCs w:val="22"/>
          <w14:textFill>
            <w14:solidFill>
              <w14:schemeClr w14:val="tx1"/>
            </w14:solidFill>
          </w14:textFill>
        </w:rPr>
        <w:t>二、</w:t>
      </w:r>
      <w:r>
        <w:rPr>
          <w:rFonts w:hint="eastAsia" w:ascii="宋体" w:hAnsi="宋体" w:cs="Arial"/>
          <w:b/>
          <w:color w:val="000000" w:themeColor="text1"/>
          <w:sz w:val="22"/>
          <w:szCs w:val="22"/>
          <w14:textFill>
            <w14:solidFill>
              <w14:schemeClr w14:val="tx1"/>
            </w14:solidFill>
          </w14:textFill>
        </w:rPr>
        <w:t>技术依据</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fldChar w:fldCharType="begin"/>
      </w:r>
      <w:r>
        <w:rPr>
          <w:rFonts w:hint="eastAsia" w:ascii="宋体" w:hAnsi="宋体" w:cs="Arial"/>
          <w:color w:val="000000" w:themeColor="text1"/>
          <w:sz w:val="22"/>
          <w:szCs w:val="22"/>
          <w14:textFill>
            <w14:solidFill>
              <w14:schemeClr w14:val="tx1"/>
            </w14:solidFill>
          </w14:textFill>
        </w:rPr>
        <w:instrText xml:space="preserve"> = 1 \* GB2 </w:instrText>
      </w:r>
      <w:r>
        <w:rPr>
          <w:rFonts w:hint="eastAsia" w:ascii="宋体" w:hAnsi="宋体" w:cs="Arial"/>
          <w:color w:val="000000" w:themeColor="text1"/>
          <w:sz w:val="22"/>
          <w:szCs w:val="22"/>
          <w14:textFill>
            <w14:solidFill>
              <w14:schemeClr w14:val="tx1"/>
            </w14:solidFill>
          </w14:textFill>
        </w:rPr>
        <w:fldChar w:fldCharType="separate"/>
      </w:r>
      <w:r>
        <w:rPr>
          <w:rFonts w:hint="eastAsia" w:ascii="宋体" w:hAnsi="宋体" w:cs="Arial"/>
          <w:color w:val="000000" w:themeColor="text1"/>
          <w:sz w:val="22"/>
          <w:szCs w:val="22"/>
          <w14:textFill>
            <w14:solidFill>
              <w14:schemeClr w14:val="tx1"/>
            </w14:solidFill>
          </w14:textFill>
        </w:rPr>
        <w:t>⑴</w:t>
      </w:r>
      <w:r>
        <w:rPr>
          <w:rFonts w:hint="eastAsia" w:ascii="宋体" w:hAnsi="宋体" w:cs="Arial"/>
          <w:color w:val="000000" w:themeColor="text1"/>
          <w:sz w:val="22"/>
          <w:szCs w:val="22"/>
          <w14:textFill>
            <w14:solidFill>
              <w14:schemeClr w14:val="tx1"/>
            </w14:solidFill>
          </w14:textFill>
        </w:rPr>
        <w:fldChar w:fldCharType="end"/>
      </w:r>
      <w:r>
        <w:rPr>
          <w:rFonts w:hint="eastAsia" w:ascii="宋体" w:hAnsi="宋体" w:cs="Arial"/>
          <w:color w:val="000000" w:themeColor="text1"/>
          <w:sz w:val="22"/>
          <w:szCs w:val="22"/>
          <w14:textFill>
            <w14:solidFill>
              <w14:schemeClr w14:val="tx1"/>
            </w14:solidFill>
          </w14:textFill>
        </w:rPr>
        <w:t>《东莞市房屋使用安全管理规定》（广东省东莞市人民政府第144号）</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⑵《工业建筑可靠性鉴定标准》（GB50144-2008）；</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⑶《民用建筑可靠性鉴定标准》（GB50292-2015）；</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⑷《建筑地基基础设计规范》（GB50007-2011）；</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⑸《建筑结构荷载规范》（GB50009-2012）；</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⑹《建筑结构检测技术标准》（GB/T50344-2004）；</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⑺《建筑工程质量检验评定标准》（GBJ301-88）；</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⑻《混凝土结构设计规范》（GB50010-2010）；</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⑼《混凝土结构工程施工质量验收规范》（GB50204-02）；</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⑽《钻芯法检测混凝土强度技术规程》（CECS 03：2007）；</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⑾《建筑抗震设计规范》（GB50011-2011）；</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⑿《建筑抗震鉴定标准》（GB50023-2009）；</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⒀《混凝土结构加固设计规范》(GB50367-2006)；</w:t>
      </w:r>
    </w:p>
    <w:p>
      <w:pPr>
        <w:tabs>
          <w:tab w:val="left" w:pos="567"/>
        </w:tabs>
        <w:spacing w:line="420" w:lineRule="exact"/>
        <w:ind w:firstLine="567"/>
        <w:rPr>
          <w:rFonts w:ascii="宋体" w:hAnsi="宋体" w:cs="Arial"/>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fldChar w:fldCharType="begin"/>
      </w:r>
      <w:r>
        <w:rPr>
          <w:rFonts w:hint="eastAsia" w:ascii="宋体" w:hAnsi="宋体" w:cs="Arial"/>
          <w:color w:val="000000" w:themeColor="text1"/>
          <w:sz w:val="22"/>
          <w:szCs w:val="22"/>
          <w14:textFill>
            <w14:solidFill>
              <w14:schemeClr w14:val="tx1"/>
            </w14:solidFill>
          </w14:textFill>
        </w:rPr>
        <w:instrText xml:space="preserve"> = 14 \* GB2 </w:instrText>
      </w:r>
      <w:r>
        <w:rPr>
          <w:rFonts w:hint="eastAsia" w:ascii="宋体" w:hAnsi="宋体" w:cs="Arial"/>
          <w:color w:val="000000" w:themeColor="text1"/>
          <w:sz w:val="22"/>
          <w:szCs w:val="22"/>
          <w14:textFill>
            <w14:solidFill>
              <w14:schemeClr w14:val="tx1"/>
            </w14:solidFill>
          </w14:textFill>
        </w:rPr>
        <w:fldChar w:fldCharType="separate"/>
      </w:r>
      <w:r>
        <w:rPr>
          <w:rFonts w:hint="eastAsia" w:ascii="宋体" w:hAnsi="宋体" w:cs="Arial"/>
          <w:color w:val="000000" w:themeColor="text1"/>
          <w:sz w:val="22"/>
          <w:szCs w:val="22"/>
          <w14:textFill>
            <w14:solidFill>
              <w14:schemeClr w14:val="tx1"/>
            </w14:solidFill>
          </w14:textFill>
        </w:rPr>
        <w:t>⒁</w:t>
      </w:r>
      <w:r>
        <w:rPr>
          <w:rFonts w:hint="eastAsia" w:ascii="宋体" w:hAnsi="宋体" w:cs="Arial"/>
          <w:color w:val="000000" w:themeColor="text1"/>
          <w:sz w:val="22"/>
          <w:szCs w:val="22"/>
          <w14:textFill>
            <w14:solidFill>
              <w14:schemeClr w14:val="tx1"/>
            </w14:solidFill>
          </w14:textFill>
        </w:rPr>
        <w:fldChar w:fldCharType="end"/>
      </w:r>
      <w:r>
        <w:rPr>
          <w:rFonts w:hint="eastAsia" w:ascii="宋体" w:hAnsi="宋体" w:cs="Arial"/>
          <w:color w:val="000000" w:themeColor="text1"/>
          <w:sz w:val="22"/>
          <w:szCs w:val="22"/>
          <w14:textFill>
            <w14:solidFill>
              <w14:schemeClr w14:val="tx1"/>
            </w14:solidFill>
          </w14:textFill>
        </w:rPr>
        <w:t>《建筑结构可靠度设计统一标准》（GB50068-2001）；</w:t>
      </w:r>
    </w:p>
    <w:p>
      <w:pPr>
        <w:widowControl/>
        <w:spacing w:line="420" w:lineRule="exact"/>
        <w:rPr>
          <w:rFonts w:ascii="宋体" w:hAnsi="宋体"/>
          <w:color w:val="000000" w:themeColor="text1"/>
          <w:sz w:val="22"/>
          <w:szCs w:val="22"/>
          <w14:textFill>
            <w14:solidFill>
              <w14:schemeClr w14:val="tx1"/>
            </w14:solidFill>
          </w14:textFill>
        </w:rPr>
      </w:pPr>
      <w:r>
        <w:rPr>
          <w:rFonts w:hint="eastAsia" w:ascii="宋体" w:hAnsi="宋体" w:cs="仿宋_GB2312"/>
          <w:b/>
          <w:bCs/>
          <w:color w:val="000000" w:themeColor="text1"/>
          <w:sz w:val="22"/>
          <w:szCs w:val="22"/>
          <w14:textFill>
            <w14:solidFill>
              <w14:schemeClr w14:val="tx1"/>
            </w14:solidFill>
          </w14:textFill>
        </w:rPr>
        <w:t>三、既有建筑物结构安全检查、鉴定和抗震评估要求</w:t>
      </w:r>
    </w:p>
    <w:p>
      <w:pPr>
        <w:spacing w:line="420" w:lineRule="exact"/>
        <w:ind w:firstLine="440" w:firstLineChars="200"/>
        <w:rPr>
          <w:rFonts w:ascii="宋体" w:hAnsi="宋体" w:cs="宋体"/>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fldChar w:fldCharType="begin"/>
      </w:r>
      <w:r>
        <w:rPr>
          <w:rFonts w:hint="eastAsia" w:ascii="宋体" w:hAnsi="宋体" w:cs="Arial"/>
          <w:color w:val="000000" w:themeColor="text1"/>
          <w:sz w:val="22"/>
          <w:szCs w:val="22"/>
          <w14:textFill>
            <w14:solidFill>
              <w14:schemeClr w14:val="tx1"/>
            </w14:solidFill>
          </w14:textFill>
        </w:rPr>
        <w:instrText xml:space="preserve"> = 1 \* GB2 </w:instrText>
      </w:r>
      <w:r>
        <w:rPr>
          <w:rFonts w:hint="eastAsia" w:ascii="宋体" w:hAnsi="宋体" w:cs="Arial"/>
          <w:color w:val="000000" w:themeColor="text1"/>
          <w:sz w:val="22"/>
          <w:szCs w:val="22"/>
          <w14:textFill>
            <w14:solidFill>
              <w14:schemeClr w14:val="tx1"/>
            </w14:solidFill>
          </w14:textFill>
        </w:rPr>
        <w:fldChar w:fldCharType="separate"/>
      </w:r>
      <w:r>
        <w:rPr>
          <w:rFonts w:hint="eastAsia" w:ascii="宋体" w:hAnsi="宋体" w:cs="Arial"/>
          <w:color w:val="000000" w:themeColor="text1"/>
          <w:sz w:val="22"/>
          <w:szCs w:val="22"/>
          <w14:textFill>
            <w14:solidFill>
              <w14:schemeClr w14:val="tx1"/>
            </w14:solidFill>
          </w14:textFill>
        </w:rPr>
        <w:t>⑴</w:t>
      </w:r>
      <w:r>
        <w:rPr>
          <w:rFonts w:hint="eastAsia" w:ascii="宋体" w:hAnsi="宋体" w:cs="Arial"/>
          <w:color w:val="000000" w:themeColor="text1"/>
          <w:sz w:val="22"/>
          <w:szCs w:val="22"/>
          <w14:textFill>
            <w14:solidFill>
              <w14:schemeClr w14:val="tx1"/>
            </w14:solidFill>
          </w14:textFill>
        </w:rPr>
        <w:fldChar w:fldCharType="end"/>
      </w:r>
      <w:r>
        <w:rPr>
          <w:rFonts w:hint="eastAsia" w:ascii="宋体" w:hAnsi="宋体" w:cs="宋体"/>
          <w:color w:val="000000" w:themeColor="text1"/>
          <w:sz w:val="22"/>
          <w:szCs w:val="22"/>
          <w14:textFill>
            <w14:solidFill>
              <w14:schemeClr w14:val="tx1"/>
            </w14:solidFill>
          </w14:textFill>
        </w:rPr>
        <w:t>既有建筑物结构安全检查报告必须在原来的结构安全鉴定报告的基础上，客观全面地反映各栋既有建筑物的结构安全状况，检查结论依据应该充分合理客观。</w:t>
      </w:r>
    </w:p>
    <w:p>
      <w:pPr>
        <w:spacing w:line="420" w:lineRule="exact"/>
        <w:ind w:firstLine="440" w:firstLineChars="200"/>
        <w:rPr>
          <w:rFonts w:ascii="宋体" w:hAnsi="宋体" w:cs="宋体"/>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⑵</w:t>
      </w:r>
      <w:r>
        <w:rPr>
          <w:rFonts w:hint="eastAsia" w:ascii="宋体" w:hAnsi="宋体" w:cs="宋体"/>
          <w:b/>
          <w:color w:val="000000" w:themeColor="text1"/>
          <w:sz w:val="22"/>
          <w:szCs w:val="22"/>
          <w14:textFill>
            <w14:solidFill>
              <w14:schemeClr w14:val="tx1"/>
            </w14:solidFill>
          </w14:textFill>
        </w:rPr>
        <w:t>鉴定单位应在完成所有安全检查、鉴定和抗震评估结束后，对校园内的既有建筑物在鉴定过程中有所破坏的地方需要无条件按原貌进行恢复</w:t>
      </w:r>
      <w:r>
        <w:rPr>
          <w:rFonts w:hint="eastAsia" w:ascii="宋体" w:hAnsi="宋体" w:cs="宋体"/>
          <w:color w:val="000000" w:themeColor="text1"/>
          <w:sz w:val="22"/>
          <w:szCs w:val="22"/>
          <w14:textFill>
            <w14:solidFill>
              <w14:schemeClr w14:val="tx1"/>
            </w14:solidFill>
          </w14:textFill>
        </w:rPr>
        <w:t>。</w:t>
      </w:r>
    </w:p>
    <w:p>
      <w:pPr>
        <w:spacing w:line="420" w:lineRule="exact"/>
        <w:ind w:firstLine="440" w:firstLineChars="200"/>
        <w:rPr>
          <w:rFonts w:ascii="宋体" w:hAnsi="宋体" w:cs="宋体"/>
          <w:b/>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⑶</w:t>
      </w:r>
      <w:r>
        <w:rPr>
          <w:rFonts w:hint="eastAsia" w:ascii="宋体" w:hAnsi="宋体" w:cs="宋体"/>
          <w:b/>
          <w:color w:val="000000" w:themeColor="text1"/>
          <w:sz w:val="22"/>
          <w:szCs w:val="22"/>
          <w14:textFill>
            <w14:solidFill>
              <w14:schemeClr w14:val="tx1"/>
            </w14:solidFill>
          </w14:textFill>
        </w:rPr>
        <w:t>鉴定单位应积极无偿配合采购人方在出具正式的既有建筑物检查、鉴定和抗震评估报告出具后的后续检查整改等相关工作。</w:t>
      </w:r>
    </w:p>
    <w:p>
      <w:pPr>
        <w:spacing w:line="420" w:lineRule="exact"/>
        <w:ind w:firstLine="440" w:firstLineChars="200"/>
        <w:rPr>
          <w:rFonts w:hint="eastAsia" w:ascii="宋体" w:hAnsi="宋体"/>
          <w:color w:val="000000" w:themeColor="text1"/>
          <w:sz w:val="22"/>
          <w:szCs w:val="22"/>
          <w14:textFill>
            <w14:solidFill>
              <w14:schemeClr w14:val="tx1"/>
            </w14:solidFill>
          </w14:textFill>
        </w:rPr>
      </w:pPr>
      <w:r>
        <w:rPr>
          <w:rFonts w:hint="eastAsia" w:ascii="宋体" w:hAnsi="宋体" w:cs="Arial"/>
          <w:color w:val="000000" w:themeColor="text1"/>
          <w:sz w:val="22"/>
          <w:szCs w:val="22"/>
          <w14:textFill>
            <w14:solidFill>
              <w14:schemeClr w14:val="tx1"/>
            </w14:solidFill>
          </w14:textFill>
        </w:rPr>
        <w:t>⑷</w:t>
      </w:r>
      <w:r>
        <w:rPr>
          <w:rFonts w:hint="eastAsia" w:ascii="宋体" w:hAnsi="宋体" w:cs="宋体"/>
          <w:b/>
          <w:color w:val="000000" w:themeColor="text1"/>
          <w:sz w:val="22"/>
          <w:szCs w:val="22"/>
          <w14:textFill>
            <w14:solidFill>
              <w14:schemeClr w14:val="tx1"/>
            </w14:solidFill>
          </w14:textFill>
        </w:rPr>
        <w:t>中标人应向采购人提交最终成果的房屋安全及抗震鉴定报告，每栋楼不少于3本及电子档（光盘）。如非采购人原因，符合要求的还应提供市住建局的备案告知凭证。</w:t>
      </w:r>
    </w:p>
    <w:p>
      <w:pPr>
        <w:rPr>
          <w:rFonts w:hint="eastAsia" w:ascii="宋体" w:hAnsi="宋体"/>
          <w:color w:val="000000" w:themeColor="text1"/>
          <w:sz w:val="22"/>
          <w:szCs w:val="22"/>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CB60D5"/>
    <w:rsid w:val="2BCB60D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paragraph" w:styleId="2">
    <w:name w:val="heading 2"/>
    <w:basedOn w:val="1"/>
    <w:next w:val="1"/>
    <w:qFormat/>
    <w:uiPriority w:val="0"/>
    <w:pPr>
      <w:keepNext/>
      <w:keepLines/>
      <w:spacing w:before="260" w:after="260" w:line="1200" w:lineRule="exact"/>
      <w:jc w:val="center"/>
      <w:outlineLvl w:val="1"/>
    </w:pPr>
    <w:rPr>
      <w:rFonts w:ascii="Arial" w:hAnsi="Arial"/>
      <w:b/>
      <w:kern w:val="2"/>
      <w:sz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正文缩进2格"/>
    <w:basedOn w:val="1"/>
    <w:qFormat/>
    <w:uiPriority w:val="0"/>
    <w:pPr>
      <w:spacing w:line="600" w:lineRule="exact"/>
      <w:ind w:firstLine="639" w:firstLineChars="206"/>
    </w:pPr>
    <w:rPr>
      <w:rFonts w:ascii="仿宋_GB2312" w:hAnsi="宋体" w:eastAsia="仿宋_GB2312"/>
      <w:kern w:val="2"/>
      <w:sz w:val="31"/>
    </w:rPr>
  </w:style>
  <w:style w:type="paragraph" w:customStyle="1" w:styleId="6">
    <w:name w:val="_Style 2"/>
    <w:basedOn w:val="1"/>
    <w:qFormat/>
    <w:uiPriority w:val="0"/>
    <w:pPr>
      <w:spacing w:line="360" w:lineRule="auto"/>
      <w:ind w:firstLine="420" w:firstLineChars="200"/>
    </w:pPr>
    <w:rPr>
      <w:rFonts w:ascii="Calibri" w:hAnsi="Calibr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2018-08-23T07:54:00Z</dcterms:created>
  <dc:creator>Administrator</dc:creator>
  <cp:lastModifiedBy>Administrator</cp:lastModifiedBy>
  <dcterms:modified xsi:type="dcterms:W3CDTF">2018-08-23T07:55:01Z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