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28"/>
          <w:szCs w:val="28"/>
          <w:lang w:val="zh-CN"/>
        </w:rPr>
      </w:pPr>
      <w:bookmarkStart w:id="0" w:name="_Toc11266"/>
      <w:r>
        <w:rPr>
          <w:rFonts w:hint="eastAsia"/>
          <w:b/>
          <w:bCs/>
          <w:sz w:val="28"/>
          <w:szCs w:val="28"/>
          <w:lang w:val="zh-CN"/>
        </w:rPr>
        <w:t>虎门镇2016-2018年截污次支管网工程房屋安全鉴定服务单位项目</w:t>
      </w:r>
    </w:p>
    <w:p>
      <w:pPr>
        <w:jc w:val="center"/>
        <w:rPr>
          <w:rFonts w:hint="eastAsia"/>
          <w:b/>
          <w:bCs/>
          <w:sz w:val="28"/>
          <w:szCs w:val="28"/>
          <w:lang w:val="zh-CN"/>
        </w:rPr>
      </w:pPr>
      <w:bookmarkStart w:id="9" w:name="_GoBack"/>
      <w:r>
        <w:rPr>
          <w:rFonts w:hint="eastAsia"/>
          <w:b/>
          <w:bCs/>
          <w:sz w:val="28"/>
          <w:szCs w:val="28"/>
          <w:lang w:val="zh-CN"/>
        </w:rPr>
        <w:t>用户需求书</w:t>
      </w:r>
      <w:bookmarkEnd w:id="0"/>
    </w:p>
    <w:bookmarkEnd w:id="9"/>
    <w:p>
      <w:pPr>
        <w:pStyle w:val="3"/>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jc w:val="left"/>
        <w:textAlignment w:val="auto"/>
        <w:rPr>
          <w:rFonts w:hint="eastAsia" w:ascii="宋体" w:hAnsi="宋体" w:eastAsia="宋体"/>
          <w:color w:val="auto"/>
          <w:sz w:val="32"/>
          <w:highlight w:val="none"/>
        </w:rPr>
      </w:pPr>
      <w:bookmarkStart w:id="1" w:name="_Toc7088"/>
      <w:r>
        <w:rPr>
          <w:rFonts w:hint="eastAsia" w:ascii="宋体" w:hAnsi="宋体" w:eastAsia="宋体"/>
          <w:color w:val="auto"/>
          <w:sz w:val="24"/>
          <w:szCs w:val="24"/>
          <w:highlight w:val="none"/>
        </w:rPr>
        <w:t>一、项目概述</w:t>
      </w:r>
      <w:bookmarkEnd w:id="1"/>
      <w:r>
        <w:rPr>
          <w:rFonts w:hint="eastAsia" w:ascii="宋体" w:hAnsi="宋体" w:eastAsia="宋体"/>
          <w:color w:val="auto"/>
          <w:sz w:val="32"/>
          <w:highlight w:val="none"/>
        </w:rPr>
        <w:t xml:space="preserve"> </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虎门镇2016-2018年截污次支管网工程准备开工，管网沿路两侧存在各类居民房屋（第一片区：金宁路、宁江路、宁馨北路、麒麟西路、建设南路、江涌路共8栋；第二片区：环岛路、天培露、南北大道、长堤路、东方下路、人民北路、连升北路共62栋；第三片区：海景东路、南新路、文明路、文明里十五巷、文明路十八巷、太沙路、宴岗大道、路东大道、新安西路、东环二路、新围被二路、富民路、无名路共116栋；第四片区：富民路、三江路、西湖路、太沙路、沙电路、沿河路、连升南路、振兴路共107栋）合计293栋，管网工程施工可能会使这些房屋受到一定的影响，为明确工程施工对周边房屋的影响程度，也为日后的房屋受损理赔提供科学的依据，建设单位拟委托专业鉴定机构对周边房屋进行房屋变形观测和裂缝检查鉴定。 </w:t>
      </w:r>
    </w:p>
    <w:p>
      <w:pPr>
        <w:pStyle w:val="3"/>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jc w:val="left"/>
        <w:textAlignment w:val="auto"/>
        <w:rPr>
          <w:rFonts w:hint="eastAsia" w:ascii="宋体" w:hAnsi="宋体" w:eastAsia="宋体"/>
          <w:color w:val="auto"/>
          <w:sz w:val="32"/>
          <w:highlight w:val="none"/>
        </w:rPr>
      </w:pPr>
      <w:bookmarkStart w:id="2" w:name="_Toc26188"/>
      <w:r>
        <w:rPr>
          <w:rFonts w:hint="eastAsia" w:ascii="宋体" w:hAnsi="宋体" w:eastAsia="宋体"/>
          <w:color w:val="auto"/>
          <w:sz w:val="24"/>
          <w:szCs w:val="24"/>
          <w:highlight w:val="none"/>
        </w:rPr>
        <w:t>二、鉴定的服务范围及内容</w:t>
      </w:r>
      <w:bookmarkEnd w:id="2"/>
      <w:r>
        <w:rPr>
          <w:rFonts w:hint="eastAsia" w:ascii="宋体" w:hAnsi="宋体" w:eastAsia="宋体"/>
          <w:color w:val="auto"/>
          <w:sz w:val="32"/>
          <w:highlight w:val="none"/>
        </w:rPr>
        <w:t xml:space="preserve"> </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虎门镇2016-2018年截污次支管网拟建场地沿路两侧的居民房屋（第一片区：金宁路、宁江路、宁馨北路、麒麟西路、建设南路、江涌路共8栋；第二片区：环岛路、天培露、南北大道、长堤路、东方下路、人民北路、连升北路共62栋；第三片区：海景东路、南新路、文明路、文明里十五巷、文明路十八巷、太沙路、宴岗大道、路东大道、新安西路、东环二路、新围被二路、富民路、无名路共116栋；第四片区：富民路、三江路、西湖路、太沙路、沙电路、沿河路、连升南路、振兴路共107栋）合计293栋，在管网施工期间进行房屋变形观测和裂缝检查鉴定。观测检查鉴定的次数为两次：管网施工前的房屋现状检查鉴定1次、管网完工后1个月内检查鉴定1次。具体的服务内容如下： </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82" w:firstLineChars="200"/>
        <w:jc w:val="left"/>
        <w:textAlignment w:val="auto"/>
        <w:outlineLvl w:val="9"/>
        <w:rPr>
          <w:rFonts w:hint="eastAsia" w:ascii="宋体" w:hAnsi="宋体" w:eastAsia="宋体"/>
          <w:color w:val="auto"/>
          <w:sz w:val="30"/>
          <w:highlight w:val="none"/>
        </w:rPr>
      </w:pPr>
      <w:r>
        <w:rPr>
          <w:rFonts w:hint="eastAsia" w:ascii="宋体" w:hAnsi="宋体" w:eastAsia="宋体"/>
          <w:b/>
          <w:bCs/>
          <w:color w:val="auto"/>
          <w:sz w:val="24"/>
          <w:szCs w:val="24"/>
          <w:highlight w:val="none"/>
        </w:rPr>
        <w:t>1、前期准备工作</w:t>
      </w:r>
      <w:r>
        <w:rPr>
          <w:rFonts w:hint="eastAsia" w:ascii="宋体" w:hAnsi="宋体" w:eastAsia="宋体"/>
          <w:color w:val="auto"/>
          <w:sz w:val="30"/>
          <w:highlight w:val="none"/>
        </w:rPr>
        <w:t xml:space="preserve"> </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由委托人确定需要进行观测的房屋名单并且向业主通知相关检查事宜、约定集中检查时间，向鉴定单位提供房屋名单和联系电话。 </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82" w:firstLineChars="200"/>
        <w:jc w:val="left"/>
        <w:textAlignment w:val="auto"/>
        <w:outlineLvl w:val="9"/>
        <w:rPr>
          <w:rFonts w:hint="eastAsia" w:ascii="宋体" w:hAnsi="宋体" w:eastAsia="宋体"/>
          <w:b/>
          <w:bCs/>
          <w:color w:val="auto"/>
          <w:sz w:val="24"/>
          <w:szCs w:val="24"/>
          <w:highlight w:val="none"/>
        </w:rPr>
      </w:pPr>
      <w:r>
        <w:rPr>
          <w:rFonts w:hint="eastAsia" w:ascii="宋体" w:hAnsi="宋体" w:eastAsia="宋体"/>
          <w:b/>
          <w:bCs/>
          <w:color w:val="auto"/>
          <w:sz w:val="24"/>
          <w:szCs w:val="24"/>
          <w:highlight w:val="none"/>
        </w:rPr>
        <w:t xml:space="preserve">2、测绘建筑平面和结构平面图 </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对每栋房屋的建筑平面简图和结构平面简图进行现场测绘，现场形成草图，测绘成果最后用制图软件电脑打印。 </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82" w:firstLineChars="200"/>
        <w:jc w:val="left"/>
        <w:textAlignment w:val="auto"/>
        <w:outlineLvl w:val="9"/>
        <w:rPr>
          <w:rFonts w:hint="eastAsia" w:ascii="宋体" w:hAnsi="宋体" w:eastAsia="宋体"/>
          <w:color w:val="auto"/>
          <w:sz w:val="30"/>
          <w:highlight w:val="none"/>
        </w:rPr>
      </w:pPr>
      <w:r>
        <w:rPr>
          <w:rFonts w:hint="eastAsia" w:ascii="宋体" w:hAnsi="宋体" w:eastAsia="宋体"/>
          <w:b/>
          <w:bCs/>
          <w:color w:val="auto"/>
          <w:sz w:val="24"/>
          <w:szCs w:val="24"/>
          <w:highlight w:val="none"/>
        </w:rPr>
        <w:t>3、现状完损性检查</w:t>
      </w:r>
      <w:r>
        <w:rPr>
          <w:rFonts w:hint="eastAsia" w:ascii="宋体" w:hAnsi="宋体" w:eastAsia="宋体"/>
          <w:color w:val="auto"/>
          <w:sz w:val="30"/>
          <w:highlight w:val="none"/>
        </w:rPr>
        <w:t xml:space="preserve"> </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检查梁柱板和墙体的可见裂缝，对主要裂缝进行标记记录，标记记录的方法为： </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（1）在建筑平面图上记录主要裂缝的分布； </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（2）用相机拍摄主要裂缝； </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（3）对于有必要的结构性裂缝，用裂缝测宽仪测量裂缝宽度。 </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（4）在主要裂缝中选取有代表性的裂缝，用漆笔和石膏饼等在现场对代表性裂缝的宽度和长度进行标记，注明标记点的编号和日期，以便观察裂缝发展的情况。 </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82" w:firstLineChars="200"/>
        <w:jc w:val="left"/>
        <w:textAlignment w:val="auto"/>
        <w:outlineLvl w:val="9"/>
        <w:rPr>
          <w:rFonts w:hint="eastAsia" w:ascii="宋体" w:hAnsi="宋体" w:eastAsia="宋体"/>
          <w:color w:val="auto"/>
          <w:sz w:val="30"/>
          <w:highlight w:val="none"/>
        </w:rPr>
      </w:pPr>
      <w:r>
        <w:rPr>
          <w:rFonts w:hint="eastAsia" w:ascii="宋体" w:hAnsi="宋体" w:eastAsia="宋体"/>
          <w:b/>
          <w:bCs/>
          <w:color w:val="auto"/>
          <w:sz w:val="24"/>
          <w:szCs w:val="24"/>
          <w:highlight w:val="none"/>
        </w:rPr>
        <w:t>4、房屋裂缝变化观测</w:t>
      </w:r>
      <w:r>
        <w:rPr>
          <w:rFonts w:hint="eastAsia" w:ascii="宋体" w:hAnsi="宋体" w:eastAsia="宋体"/>
          <w:color w:val="auto"/>
          <w:sz w:val="30"/>
          <w:highlight w:val="none"/>
        </w:rPr>
        <w:t xml:space="preserve"> </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在工程施工期间定期观测裂缝的发展情况。观测内容主要为：有没有新的裂缝产生，现状裂缝有没有变化，变化情况如何。观测频率为：工地开工前检查1次，施工完毕后的1个月内检查1次 (遇特殊情况，如果甲方要求增加观测次数，费用另计)。 </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观测期间如发现有新的裂缝产生，应该对有代表性的新裂缝设置观测标记（漆笔和石膏饼），并注明日期；如发现原有裂缝变长或变宽，应在伸展处和已有的石膏饼旁边重新设置观测标记（漆笔和石膏饼），并注明日期，然后测量裂缝宽度的变化量。 </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82" w:firstLineChars="200"/>
        <w:jc w:val="left"/>
        <w:textAlignment w:val="auto"/>
        <w:outlineLvl w:val="9"/>
        <w:rPr>
          <w:rFonts w:hint="eastAsia" w:ascii="宋体" w:hAnsi="宋体" w:eastAsia="宋体"/>
          <w:color w:val="auto"/>
          <w:sz w:val="30"/>
          <w:highlight w:val="none"/>
        </w:rPr>
      </w:pPr>
      <w:r>
        <w:rPr>
          <w:rFonts w:hint="eastAsia" w:ascii="宋体" w:hAnsi="宋体" w:eastAsia="宋体"/>
          <w:b/>
          <w:bCs/>
          <w:color w:val="auto"/>
          <w:sz w:val="24"/>
          <w:szCs w:val="24"/>
          <w:highlight w:val="none"/>
        </w:rPr>
        <w:t>5、房屋倾斜观测</w:t>
      </w:r>
      <w:r>
        <w:rPr>
          <w:rFonts w:hint="eastAsia" w:ascii="宋体" w:hAnsi="宋体" w:eastAsia="宋体"/>
          <w:color w:val="auto"/>
          <w:sz w:val="30"/>
          <w:highlight w:val="none"/>
        </w:rPr>
        <w:t xml:space="preserve"> </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工地开工前和施工完毕后的1个月内分别对房屋进行1次倾斜测量（共2次）。采用拓普康GTS－212型全站仪测量，选取两个屋角为测轴，在测量基准点上设置全站仪，采用方向交会法测出房屋的倾斜度。(遇特殊情况，如果甲方要求增加观测次数，费用另计)。 </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82" w:firstLineChars="200"/>
        <w:jc w:val="left"/>
        <w:textAlignment w:val="auto"/>
        <w:outlineLvl w:val="9"/>
        <w:rPr>
          <w:rFonts w:hint="eastAsia" w:ascii="宋体" w:hAnsi="宋体" w:eastAsia="宋体"/>
          <w:color w:val="auto"/>
          <w:sz w:val="30"/>
          <w:highlight w:val="none"/>
        </w:rPr>
      </w:pPr>
      <w:r>
        <w:rPr>
          <w:rFonts w:hint="eastAsia" w:ascii="宋体" w:hAnsi="宋体" w:eastAsia="宋体"/>
          <w:b/>
          <w:bCs/>
          <w:color w:val="auto"/>
          <w:sz w:val="24"/>
          <w:szCs w:val="24"/>
          <w:highlight w:val="none"/>
        </w:rPr>
        <w:t>6、房屋沉降观测</w:t>
      </w:r>
      <w:r>
        <w:rPr>
          <w:rFonts w:hint="eastAsia" w:ascii="宋体" w:hAnsi="宋体" w:eastAsia="宋体"/>
          <w:color w:val="auto"/>
          <w:sz w:val="30"/>
          <w:highlight w:val="none"/>
        </w:rPr>
        <w:t xml:space="preserve"> </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在工程施工期间，对房屋的沉降情况进行观测。采用拓普康GTS－212型全站仪测量，在前后两个屋角上分别设置一个观测点，在测量基准点上设置全站仪，对房屋进行定期沉降观测，观测次数为：工地开工前测量1次高程，工程施工完毕的1个月内再测量1次高程。(遇特殊情况，如果甲方要求增加观测次数，费用另计)。 </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82" w:firstLineChars="200"/>
        <w:jc w:val="left"/>
        <w:textAlignment w:val="auto"/>
        <w:outlineLvl w:val="9"/>
        <w:rPr>
          <w:rFonts w:hint="eastAsia" w:ascii="宋体" w:hAnsi="宋体" w:eastAsia="宋体"/>
          <w:color w:val="auto"/>
          <w:sz w:val="30"/>
          <w:highlight w:val="none"/>
        </w:rPr>
      </w:pPr>
      <w:r>
        <w:rPr>
          <w:rFonts w:hint="eastAsia" w:ascii="宋体" w:hAnsi="宋体" w:eastAsia="宋体"/>
          <w:b/>
          <w:bCs/>
          <w:color w:val="auto"/>
          <w:sz w:val="24"/>
          <w:szCs w:val="24"/>
          <w:highlight w:val="none"/>
        </w:rPr>
        <w:t>7、施工过程的协调解释</w:t>
      </w:r>
      <w:r>
        <w:rPr>
          <w:rFonts w:hint="eastAsia" w:ascii="宋体" w:hAnsi="宋体" w:eastAsia="宋体"/>
          <w:color w:val="auto"/>
          <w:sz w:val="30"/>
          <w:highlight w:val="none"/>
        </w:rPr>
        <w:t xml:space="preserve"> </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在工程施工期间，如果有周边房屋的业主提出疑问或者发生相关纠纷，要配合双方进行技术方面的解释、答疑。 </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82" w:firstLineChars="200"/>
        <w:jc w:val="left"/>
        <w:textAlignment w:val="auto"/>
        <w:outlineLvl w:val="9"/>
        <w:rPr>
          <w:rFonts w:hint="eastAsia" w:ascii="宋体" w:hAnsi="宋体" w:eastAsia="宋体"/>
          <w:color w:val="auto"/>
          <w:sz w:val="30"/>
          <w:highlight w:val="none"/>
        </w:rPr>
      </w:pPr>
      <w:r>
        <w:rPr>
          <w:rFonts w:hint="eastAsia" w:ascii="宋体" w:hAnsi="宋体" w:eastAsia="宋体"/>
          <w:b/>
          <w:bCs/>
          <w:color w:val="auto"/>
          <w:sz w:val="24"/>
          <w:szCs w:val="24"/>
          <w:highlight w:val="none"/>
        </w:rPr>
        <w:t>8、分析鉴定、编写报告</w:t>
      </w:r>
      <w:r>
        <w:rPr>
          <w:rFonts w:hint="eastAsia" w:ascii="宋体" w:hAnsi="宋体" w:eastAsia="宋体"/>
          <w:color w:val="auto"/>
          <w:sz w:val="30"/>
          <w:highlight w:val="none"/>
        </w:rPr>
        <w:t xml:space="preserve"> </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每次完成现场检查后，出具相应的《房屋变形观测与裂缝检查鉴定报告》，根据裂缝情况和倾斜情况，对比裂缝变化情况、倾斜变化情况和沉降变化情况，对房屋倾斜和房屋裂缝的安全性作鉴定分析，提出结论和相应的处理建议。 </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管网工程施工完毕后的1个月内，结束观测变形观测，整个观测过程出具2次《房屋变形观测与裂缝检查鉴定报告》：开始1次、结束1次。 </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82" w:firstLineChars="200"/>
        <w:jc w:val="left"/>
        <w:textAlignment w:val="auto"/>
        <w:outlineLvl w:val="9"/>
        <w:rPr>
          <w:rFonts w:hint="eastAsia" w:ascii="宋体" w:hAnsi="宋体" w:eastAsia="宋体"/>
          <w:color w:val="auto"/>
          <w:sz w:val="30"/>
          <w:highlight w:val="none"/>
        </w:rPr>
      </w:pPr>
      <w:r>
        <w:rPr>
          <w:rFonts w:hint="eastAsia" w:ascii="宋体" w:hAnsi="宋体" w:eastAsia="宋体"/>
          <w:b/>
          <w:bCs/>
          <w:color w:val="auto"/>
          <w:sz w:val="24"/>
          <w:szCs w:val="24"/>
          <w:highlight w:val="none"/>
        </w:rPr>
        <w:t>9、现场观测的多方配合</w:t>
      </w:r>
      <w:r>
        <w:rPr>
          <w:rFonts w:hint="eastAsia" w:ascii="宋体" w:hAnsi="宋体" w:eastAsia="宋体"/>
          <w:color w:val="auto"/>
          <w:sz w:val="30"/>
          <w:highlight w:val="none"/>
        </w:rPr>
        <w:t xml:space="preserve"> </w:t>
      </w:r>
    </w:p>
    <w:p>
      <w:pPr>
        <w:keepNext w:val="0"/>
        <w:keepLines w:val="0"/>
        <w:pageBreakBefore w:val="0"/>
        <w:widowControl w:val="0"/>
        <w:kinsoku/>
        <w:wordWrap/>
        <w:overflowPunct/>
        <w:topLinePunct w:val="0"/>
        <w:autoSpaceDE w:val="0"/>
        <w:autoSpaceDN w:val="0"/>
        <w:bidi w:val="0"/>
        <w:adjustRightInd w:val="0"/>
        <w:snapToGrid/>
        <w:spacing w:beforeLines="0" w:afterLines="0" w:line="360" w:lineRule="auto"/>
        <w:ind w:left="0" w:leftChars="0" w:right="0" w:rightChars="0" w:firstLine="0" w:firstLineChars="0"/>
        <w:jc w:val="left"/>
        <w:textAlignment w:val="auto"/>
        <w:rPr>
          <w:rFonts w:hint="eastAsia" w:ascii="宋体" w:hAnsi="宋体" w:eastAsia="宋体"/>
          <w:color w:val="auto"/>
          <w:sz w:val="23"/>
          <w:highlight w:val="none"/>
        </w:rPr>
      </w:pPr>
      <w:r>
        <w:rPr>
          <w:rFonts w:hint="eastAsia" w:ascii="宋体" w:hAnsi="宋体" w:eastAsia="宋体" w:cs="宋体"/>
          <w:color w:val="auto"/>
          <w:sz w:val="21"/>
          <w:szCs w:val="21"/>
          <w:highlight w:val="none"/>
        </w:rPr>
        <w:t>每次现场检查，房屋业主和工地建设单位应安排人员跟踪协调，检查前，房屋业主应打开所有房间门户，并且陪同检查。</w:t>
      </w:r>
      <w:r>
        <w:rPr>
          <w:rFonts w:hint="eastAsia" w:ascii="宋体" w:hAnsi="宋体" w:eastAsia="宋体"/>
          <w:color w:val="auto"/>
          <w:sz w:val="23"/>
          <w:highlight w:val="none"/>
        </w:rPr>
        <w:t xml:space="preserve"> </w:t>
      </w:r>
    </w:p>
    <w:p>
      <w:pPr>
        <w:pStyle w:val="3"/>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0" w:firstLineChars="0"/>
        <w:jc w:val="left"/>
        <w:textAlignment w:val="auto"/>
        <w:rPr>
          <w:rFonts w:hint="eastAsia" w:ascii="宋体" w:hAnsi="宋体" w:eastAsia="宋体"/>
          <w:color w:val="auto"/>
          <w:sz w:val="24"/>
          <w:szCs w:val="24"/>
          <w:highlight w:val="none"/>
        </w:rPr>
      </w:pPr>
      <w:bookmarkStart w:id="3" w:name="_Toc32245"/>
      <w:r>
        <w:rPr>
          <w:rFonts w:hint="eastAsia" w:ascii="宋体" w:hAnsi="宋体" w:eastAsia="宋体"/>
          <w:color w:val="auto"/>
          <w:sz w:val="24"/>
          <w:szCs w:val="24"/>
          <w:highlight w:val="none"/>
        </w:rPr>
        <w:t>三、鉴定技术依据</w:t>
      </w:r>
      <w:bookmarkEnd w:id="3"/>
      <w:r>
        <w:rPr>
          <w:rFonts w:hint="eastAsia" w:ascii="宋体" w:hAnsi="宋体" w:eastAsia="宋体"/>
          <w:color w:val="auto"/>
          <w:sz w:val="24"/>
          <w:szCs w:val="24"/>
          <w:highlight w:val="none"/>
        </w:rPr>
        <w:t xml:space="preserve"> </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1.《房屋完损等级评定标准》（城住字84第678号） </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2.《建筑变形测量规程》JGJ/T 8－97 </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3.《危险房屋鉴定标准》JGJ 125－2016 </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4.《民用建筑可靠性鉴定标准》GB50292-2015 </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5.《混凝土结构混凝土设计规范》GB50010； </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6.《砌体结构设计规范》GB 50003； </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7. 国家建筑结构有关的标准、规程、规范； </w:t>
      </w:r>
    </w:p>
    <w:p>
      <w:pPr>
        <w:pStyle w:val="3"/>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0" w:firstLineChars="0"/>
        <w:jc w:val="left"/>
        <w:textAlignment w:val="auto"/>
        <w:rPr>
          <w:rFonts w:hint="eastAsia" w:ascii="宋体" w:hAnsi="宋体" w:eastAsia="宋体"/>
          <w:color w:val="auto"/>
          <w:sz w:val="32"/>
          <w:highlight w:val="none"/>
        </w:rPr>
      </w:pPr>
      <w:bookmarkStart w:id="4" w:name="_Toc17203"/>
      <w:r>
        <w:rPr>
          <w:rFonts w:hint="eastAsia" w:ascii="宋体" w:hAnsi="宋体" w:eastAsia="宋体"/>
          <w:color w:val="auto"/>
          <w:sz w:val="24"/>
          <w:szCs w:val="24"/>
          <w:highlight w:val="none"/>
        </w:rPr>
        <w:t>四、收费标准</w:t>
      </w:r>
      <w:bookmarkEnd w:id="4"/>
      <w:r>
        <w:rPr>
          <w:rFonts w:hint="eastAsia" w:ascii="宋体" w:hAnsi="宋体" w:eastAsia="宋体"/>
          <w:color w:val="auto"/>
          <w:sz w:val="32"/>
          <w:highlight w:val="none"/>
        </w:rPr>
        <w:t xml:space="preserve"> </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本项目收费标准参照粤价函〔2004〕428号《广东省建筑工程质量检测收费项目及标准表》里面56-1的30元/㎡的80%进行收费。 </w:t>
      </w:r>
    </w:p>
    <w:tbl>
      <w:tblPr>
        <w:tblStyle w:val="5"/>
        <w:tblW w:w="9649"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230"/>
        <w:gridCol w:w="1410"/>
        <w:gridCol w:w="1950"/>
        <w:gridCol w:w="1080"/>
        <w:gridCol w:w="1080"/>
        <w:gridCol w:w="28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 号</w:t>
            </w:r>
          </w:p>
        </w:tc>
        <w:tc>
          <w:tcPr>
            <w:tcW w:w="14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检 测 名 称</w:t>
            </w:r>
          </w:p>
        </w:tc>
        <w:tc>
          <w:tcPr>
            <w:tcW w:w="19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检 测 项 目</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计算单位</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收费标准（元）</w:t>
            </w:r>
          </w:p>
        </w:tc>
        <w:tc>
          <w:tcPr>
            <w:tcW w:w="28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5"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56-1</w:t>
            </w:r>
          </w:p>
        </w:tc>
        <w:tc>
          <w:tcPr>
            <w:tcW w:w="141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建筑结构鉴定</w:t>
            </w:r>
          </w:p>
        </w:tc>
        <w:tc>
          <w:tcPr>
            <w:tcW w:w="19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建筑物结构检测及鉴定（综合）</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m2</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30</w:t>
            </w:r>
          </w:p>
        </w:tc>
        <w:tc>
          <w:tcPr>
            <w:tcW w:w="28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1、15元/平方米（仅检测）2、不足为100平方米 按合同约定。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50"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56-2</w:t>
            </w:r>
          </w:p>
        </w:tc>
        <w:tc>
          <w:tcPr>
            <w:tcW w:w="141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auto"/>
                <w:sz w:val="21"/>
                <w:szCs w:val="21"/>
                <w:highlight w:val="none"/>
                <w:u w:val="none"/>
              </w:rPr>
            </w:pPr>
          </w:p>
        </w:tc>
        <w:tc>
          <w:tcPr>
            <w:tcW w:w="19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检测楼板厚度</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点</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50</w:t>
            </w:r>
          </w:p>
        </w:tc>
        <w:tc>
          <w:tcPr>
            <w:tcW w:w="289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40"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56-3</w:t>
            </w:r>
          </w:p>
        </w:tc>
        <w:tc>
          <w:tcPr>
            <w:tcW w:w="141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auto"/>
                <w:sz w:val="21"/>
                <w:szCs w:val="21"/>
                <w:highlight w:val="none"/>
                <w:u w:val="none"/>
              </w:rPr>
            </w:pPr>
          </w:p>
        </w:tc>
        <w:tc>
          <w:tcPr>
            <w:tcW w:w="19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图纸复核</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平方米</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2.8-3.1</w:t>
            </w:r>
          </w:p>
        </w:tc>
        <w:tc>
          <w:tcPr>
            <w:tcW w:w="28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≤2000平方米，取3.1；＞2000平方米，取2.8；不足1000平方米按合同约定。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55"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56-4</w:t>
            </w:r>
          </w:p>
        </w:tc>
        <w:tc>
          <w:tcPr>
            <w:tcW w:w="141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auto"/>
                <w:sz w:val="21"/>
                <w:szCs w:val="21"/>
                <w:highlight w:val="none"/>
                <w:u w:val="none"/>
              </w:rPr>
            </w:pPr>
          </w:p>
        </w:tc>
        <w:tc>
          <w:tcPr>
            <w:tcW w:w="19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砼钢筋及保护层厚度检测</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每构件</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300</w:t>
            </w:r>
          </w:p>
        </w:tc>
        <w:tc>
          <w:tcPr>
            <w:tcW w:w="289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0"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56-5</w:t>
            </w:r>
          </w:p>
        </w:tc>
        <w:tc>
          <w:tcPr>
            <w:tcW w:w="141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auto"/>
                <w:sz w:val="21"/>
                <w:szCs w:val="21"/>
                <w:highlight w:val="none"/>
                <w:u w:val="none"/>
              </w:rPr>
            </w:pPr>
          </w:p>
        </w:tc>
        <w:tc>
          <w:tcPr>
            <w:tcW w:w="19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检测构件裂缝、箍筋间距、钢筋直径</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件</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200</w:t>
            </w:r>
          </w:p>
        </w:tc>
        <w:tc>
          <w:tcPr>
            <w:tcW w:w="289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auto"/>
                <w:sz w:val="21"/>
                <w:szCs w:val="21"/>
                <w:highlight w:val="none"/>
                <w:u w:val="none"/>
              </w:rPr>
            </w:pPr>
          </w:p>
        </w:tc>
      </w:tr>
    </w:tbl>
    <w:p>
      <w:pPr>
        <w:spacing w:line="420" w:lineRule="atLeast"/>
        <w:ind w:firstLine="537" w:firstLineChars="206"/>
        <w:rPr>
          <w:rFonts w:hint="eastAsia" w:ascii="宋体" w:hAnsi="宋体"/>
          <w:b/>
          <w:color w:val="auto"/>
          <w:spacing w:val="20"/>
          <w:sz w:val="22"/>
          <w:szCs w:val="22"/>
          <w:highlight w:val="none"/>
        </w:rPr>
      </w:pPr>
    </w:p>
    <w:p>
      <w:pPr>
        <w:pStyle w:val="3"/>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0" w:firstLineChars="0"/>
        <w:jc w:val="left"/>
        <w:textAlignment w:val="auto"/>
        <w:rPr>
          <w:rFonts w:hint="eastAsia" w:ascii="宋体" w:hAnsi="宋体"/>
          <w:b/>
          <w:color w:val="auto"/>
          <w:spacing w:val="20"/>
          <w:sz w:val="24"/>
          <w:szCs w:val="24"/>
          <w:highlight w:val="none"/>
        </w:rPr>
      </w:pPr>
      <w:bookmarkStart w:id="5" w:name="_Toc14012"/>
      <w:r>
        <w:rPr>
          <w:rFonts w:hint="eastAsia"/>
          <w:b/>
          <w:color w:val="auto"/>
          <w:spacing w:val="20"/>
          <w:sz w:val="24"/>
          <w:szCs w:val="24"/>
          <w:highlight w:val="none"/>
          <w:lang w:eastAsia="zh-CN"/>
        </w:rPr>
        <w:t>五</w:t>
      </w:r>
      <w:r>
        <w:rPr>
          <w:rFonts w:hint="eastAsia" w:ascii="宋体" w:hAnsi="宋体"/>
          <w:b/>
          <w:color w:val="auto"/>
          <w:spacing w:val="20"/>
          <w:sz w:val="24"/>
          <w:szCs w:val="24"/>
          <w:highlight w:val="none"/>
        </w:rPr>
        <w:t>、服务要求</w:t>
      </w:r>
      <w:bookmarkEnd w:id="5"/>
    </w:p>
    <w:p>
      <w:pPr>
        <w:spacing w:line="420" w:lineRule="atLeast"/>
        <w:ind w:firstLine="453" w:firstLineChars="206"/>
        <w:rPr>
          <w:rFonts w:hint="eastAsia" w:ascii="宋体" w:hAnsi="宋体"/>
          <w:color w:val="auto"/>
          <w:sz w:val="22"/>
          <w:szCs w:val="22"/>
          <w:highlight w:val="none"/>
        </w:rPr>
      </w:pPr>
      <w:r>
        <w:rPr>
          <w:rFonts w:hint="eastAsia" w:ascii="宋体" w:hAnsi="宋体"/>
          <w:color w:val="auto"/>
          <w:sz w:val="22"/>
          <w:szCs w:val="22"/>
          <w:highlight w:val="none"/>
        </w:rPr>
        <w:t>1.中标人须无条件接受采购人的工作安排。</w:t>
      </w:r>
    </w:p>
    <w:p>
      <w:pPr>
        <w:spacing w:line="420" w:lineRule="atLeast"/>
        <w:ind w:firstLine="453" w:firstLineChars="206"/>
        <w:rPr>
          <w:rFonts w:hint="eastAsia" w:ascii="宋体" w:hAnsi="宋体"/>
          <w:color w:val="auto"/>
          <w:sz w:val="22"/>
          <w:szCs w:val="22"/>
          <w:highlight w:val="none"/>
        </w:rPr>
      </w:pPr>
      <w:r>
        <w:rPr>
          <w:rFonts w:hint="eastAsia" w:ascii="宋体" w:hAnsi="宋体"/>
          <w:color w:val="auto"/>
          <w:sz w:val="22"/>
          <w:szCs w:val="22"/>
          <w:highlight w:val="none"/>
        </w:rPr>
        <w:t>★2.在《中标通知书》发出之日起三十日内，中标人应安排法定代表人与采购人按照采购文件确定的事项签订采购合同；在签订采购合同后项目实施过程中，中标人应每周与采购人汇报项目进度</w:t>
      </w:r>
      <w:r>
        <w:rPr>
          <w:rFonts w:hint="eastAsia" w:ascii="宋体" w:hAnsi="宋体"/>
          <w:b/>
          <w:color w:val="auto"/>
          <w:sz w:val="22"/>
          <w:szCs w:val="22"/>
          <w:highlight w:val="none"/>
        </w:rPr>
        <w:t>（提供单独书面承诺书）</w:t>
      </w:r>
      <w:r>
        <w:rPr>
          <w:rFonts w:hint="eastAsia" w:ascii="宋体" w:hAnsi="宋体"/>
          <w:color w:val="auto"/>
          <w:sz w:val="22"/>
          <w:szCs w:val="22"/>
          <w:highlight w:val="none"/>
        </w:rPr>
        <w:t>。</w:t>
      </w:r>
    </w:p>
    <w:p>
      <w:pPr>
        <w:spacing w:line="420" w:lineRule="atLeast"/>
        <w:ind w:firstLine="453" w:firstLineChars="206"/>
        <w:rPr>
          <w:rFonts w:hint="eastAsia" w:ascii="宋体" w:hAnsi="宋体"/>
          <w:color w:val="auto"/>
          <w:sz w:val="22"/>
          <w:szCs w:val="22"/>
          <w:highlight w:val="none"/>
        </w:rPr>
      </w:pPr>
      <w:r>
        <w:rPr>
          <w:rFonts w:hint="eastAsia" w:ascii="宋体" w:hAnsi="宋体"/>
          <w:color w:val="auto"/>
          <w:sz w:val="22"/>
          <w:szCs w:val="22"/>
          <w:highlight w:val="none"/>
        </w:rPr>
        <w:t>★3.采购人将对中标人实行动态管理，对中标人的服务承诺.服务态度等进行定期和不定期的考核，一旦发现中标人违反招标文件要求及其承诺，将要求其限期整改，整改期间暂停其服务资格，整改完成后达到要求则恢复其资格，否则取消其资格。</w:t>
      </w:r>
      <w:r>
        <w:rPr>
          <w:rFonts w:hint="eastAsia" w:ascii="宋体" w:hAnsi="宋体"/>
          <w:b/>
          <w:color w:val="auto"/>
          <w:sz w:val="22"/>
          <w:szCs w:val="22"/>
          <w:highlight w:val="none"/>
        </w:rPr>
        <w:t>（须单独提供书面承诺书）</w:t>
      </w:r>
    </w:p>
    <w:p>
      <w:pPr>
        <w:spacing w:line="420" w:lineRule="atLeast"/>
        <w:ind w:firstLine="453" w:firstLineChars="206"/>
        <w:rPr>
          <w:rFonts w:hint="eastAsia" w:ascii="宋体" w:hAnsi="宋体"/>
          <w:color w:val="auto"/>
          <w:sz w:val="22"/>
          <w:szCs w:val="22"/>
          <w:highlight w:val="none"/>
        </w:rPr>
      </w:pPr>
      <w:r>
        <w:rPr>
          <w:rFonts w:hint="eastAsia" w:ascii="宋体" w:hAnsi="宋体"/>
          <w:color w:val="auto"/>
          <w:sz w:val="22"/>
          <w:szCs w:val="22"/>
          <w:highlight w:val="none"/>
        </w:rPr>
        <w:t>4.中标人应承担由自身过错导致的任何责任。</w:t>
      </w:r>
    </w:p>
    <w:p>
      <w:pPr>
        <w:spacing w:line="420" w:lineRule="atLeast"/>
        <w:ind w:firstLine="453" w:firstLineChars="206"/>
        <w:rPr>
          <w:rFonts w:hint="eastAsia" w:ascii="宋体" w:hAnsi="宋体"/>
          <w:color w:val="auto"/>
          <w:sz w:val="22"/>
          <w:szCs w:val="22"/>
          <w:highlight w:val="none"/>
        </w:rPr>
      </w:pPr>
      <w:r>
        <w:rPr>
          <w:rFonts w:hint="eastAsia" w:ascii="宋体" w:hAnsi="宋体"/>
          <w:color w:val="auto"/>
          <w:sz w:val="22"/>
          <w:szCs w:val="22"/>
          <w:highlight w:val="none"/>
        </w:rPr>
        <w:t>5.中标人应指定项目负责人作为与采购人的联系人。在项目服务过程中，未经建设单位同意，不得更换项目负责人。</w:t>
      </w:r>
    </w:p>
    <w:p>
      <w:pPr>
        <w:spacing w:line="420" w:lineRule="atLeast"/>
        <w:ind w:firstLine="453" w:firstLineChars="206"/>
        <w:rPr>
          <w:rFonts w:hint="eastAsia" w:ascii="宋体" w:hAnsi="宋体"/>
          <w:color w:val="auto"/>
          <w:sz w:val="22"/>
          <w:szCs w:val="22"/>
          <w:highlight w:val="none"/>
        </w:rPr>
      </w:pPr>
      <w:r>
        <w:rPr>
          <w:rFonts w:hint="eastAsia" w:ascii="宋体" w:hAnsi="宋体"/>
          <w:color w:val="auto"/>
          <w:sz w:val="22"/>
          <w:szCs w:val="22"/>
          <w:highlight w:val="none"/>
        </w:rPr>
        <w:t>6.在本项目中，必须遵循国家.省.市有关法律法规；严格执行与之相关的现行的技术标准.技术规范和规范性文件。</w:t>
      </w:r>
    </w:p>
    <w:p>
      <w:pPr>
        <w:spacing w:line="420" w:lineRule="atLeast"/>
        <w:ind w:firstLine="453" w:firstLineChars="206"/>
        <w:rPr>
          <w:rFonts w:hint="eastAsia" w:ascii="宋体" w:hAnsi="宋体"/>
          <w:color w:val="auto"/>
          <w:sz w:val="22"/>
          <w:szCs w:val="22"/>
          <w:highlight w:val="none"/>
        </w:rPr>
      </w:pPr>
      <w:r>
        <w:rPr>
          <w:rFonts w:hint="eastAsia" w:ascii="宋体" w:hAnsi="宋体"/>
          <w:color w:val="auto"/>
          <w:sz w:val="22"/>
          <w:szCs w:val="22"/>
          <w:highlight w:val="none"/>
        </w:rPr>
        <w:t>7.中标人应在规定的时间内，按照合同的具体要求提交技术文件，并确保其质量要求。</w:t>
      </w:r>
    </w:p>
    <w:p>
      <w:pPr>
        <w:spacing w:line="420" w:lineRule="atLeast"/>
        <w:ind w:firstLine="453" w:firstLineChars="206"/>
        <w:rPr>
          <w:rFonts w:hint="eastAsia" w:ascii="宋体" w:hAnsi="宋体"/>
          <w:color w:val="auto"/>
          <w:sz w:val="22"/>
          <w:szCs w:val="22"/>
          <w:highlight w:val="none"/>
        </w:rPr>
      </w:pPr>
      <w:r>
        <w:rPr>
          <w:rFonts w:hint="eastAsia" w:ascii="宋体" w:hAnsi="宋体"/>
          <w:color w:val="auto"/>
          <w:sz w:val="22"/>
          <w:szCs w:val="22"/>
          <w:highlight w:val="none"/>
        </w:rPr>
        <w:t>8.中标人应当坚持公正.科学.诚信的工作原则，遵守职业道德，讲求专业信誉，对社会责任负责，对采购人负责，不得违反国家法律.法规.政策及有关管理要求。</w:t>
      </w:r>
    </w:p>
    <w:p>
      <w:pPr>
        <w:spacing w:line="420" w:lineRule="atLeast"/>
        <w:ind w:firstLine="453" w:firstLineChars="206"/>
        <w:rPr>
          <w:rFonts w:hint="eastAsia" w:ascii="宋体" w:hAnsi="宋体"/>
          <w:color w:val="auto"/>
          <w:sz w:val="22"/>
          <w:szCs w:val="22"/>
          <w:highlight w:val="none"/>
        </w:rPr>
      </w:pPr>
      <w:r>
        <w:rPr>
          <w:rFonts w:hint="eastAsia" w:ascii="宋体" w:hAnsi="宋体"/>
          <w:color w:val="auto"/>
          <w:sz w:val="22"/>
          <w:szCs w:val="22"/>
          <w:highlight w:val="none"/>
        </w:rPr>
        <w:t>9.中标人在编制文件过程中应积极主动与采购人进行沟通。本着诚实信用的原则，高效率的提供本需求规定的各项服务。</w:t>
      </w:r>
    </w:p>
    <w:p>
      <w:pPr>
        <w:spacing w:line="420" w:lineRule="atLeast"/>
        <w:ind w:firstLine="453" w:firstLineChars="206"/>
        <w:rPr>
          <w:rFonts w:hint="eastAsia" w:ascii="宋体" w:hAnsi="宋体"/>
          <w:color w:val="auto"/>
          <w:sz w:val="22"/>
          <w:szCs w:val="22"/>
          <w:highlight w:val="none"/>
        </w:rPr>
      </w:pPr>
      <w:r>
        <w:rPr>
          <w:rFonts w:hint="eastAsia" w:ascii="宋体" w:hAnsi="宋体"/>
          <w:color w:val="auto"/>
          <w:sz w:val="22"/>
          <w:szCs w:val="22"/>
          <w:highlight w:val="none"/>
        </w:rPr>
        <w:t>10.本项目执行过程中将遵循国家.省.市有关法律.法规.标准.技术规范和规范性文件的最新规定。</w:t>
      </w:r>
    </w:p>
    <w:p>
      <w:pPr>
        <w:spacing w:line="420" w:lineRule="atLeast"/>
        <w:ind w:firstLine="0" w:firstLineChars="0"/>
        <w:rPr>
          <w:rFonts w:hint="eastAsia" w:ascii="宋体" w:hAnsi="宋体"/>
          <w:color w:val="auto"/>
          <w:sz w:val="22"/>
          <w:szCs w:val="22"/>
          <w:highlight w:val="none"/>
        </w:rPr>
      </w:pPr>
      <w:r>
        <w:rPr>
          <w:rFonts w:hint="eastAsia" w:ascii="宋体" w:hAnsi="宋体"/>
          <w:color w:val="auto"/>
          <w:sz w:val="22"/>
          <w:szCs w:val="22"/>
          <w:highlight w:val="none"/>
        </w:rPr>
        <w:t xml:space="preserve"> </w:t>
      </w:r>
    </w:p>
    <w:p>
      <w:pPr>
        <w:pStyle w:val="3"/>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0" w:firstLineChars="0"/>
        <w:jc w:val="left"/>
        <w:textAlignment w:val="auto"/>
        <w:rPr>
          <w:rFonts w:hint="eastAsia" w:ascii="宋体" w:hAnsi="宋体"/>
          <w:b/>
          <w:color w:val="auto"/>
          <w:spacing w:val="20"/>
          <w:sz w:val="24"/>
          <w:szCs w:val="24"/>
          <w:highlight w:val="none"/>
        </w:rPr>
      </w:pPr>
      <w:bookmarkStart w:id="6" w:name="_Toc6789"/>
      <w:r>
        <w:rPr>
          <w:rFonts w:hint="eastAsia"/>
          <w:b/>
          <w:color w:val="auto"/>
          <w:spacing w:val="20"/>
          <w:sz w:val="24"/>
          <w:szCs w:val="24"/>
          <w:highlight w:val="none"/>
          <w:lang w:eastAsia="zh-CN"/>
        </w:rPr>
        <w:t>六</w:t>
      </w:r>
      <w:r>
        <w:rPr>
          <w:rFonts w:hint="eastAsia" w:ascii="宋体" w:hAnsi="宋体"/>
          <w:b/>
          <w:color w:val="auto"/>
          <w:spacing w:val="20"/>
          <w:sz w:val="24"/>
          <w:szCs w:val="24"/>
          <w:highlight w:val="none"/>
        </w:rPr>
        <w:t>、付款方式</w:t>
      </w:r>
      <w:bookmarkEnd w:id="6"/>
    </w:p>
    <w:p>
      <w:pPr>
        <w:spacing w:line="420" w:lineRule="atLeast"/>
        <w:ind w:firstLine="453" w:firstLineChars="206"/>
        <w:rPr>
          <w:rFonts w:hint="eastAsia" w:ascii="宋体"/>
          <w:color w:val="auto"/>
          <w:sz w:val="22"/>
          <w:szCs w:val="22"/>
          <w:highlight w:val="none"/>
        </w:rPr>
      </w:pPr>
      <w:r>
        <w:rPr>
          <w:rFonts w:hint="eastAsia" w:ascii="宋体" w:hAnsi="宋体"/>
          <w:color w:val="auto"/>
          <w:sz w:val="22"/>
          <w:szCs w:val="22"/>
          <w:highlight w:val="none"/>
        </w:rPr>
        <w:t>1、第一次房屋变形观测和裂缝检查鉴定报告完成后支付合同价款40</w:t>
      </w:r>
      <w:r>
        <w:rPr>
          <w:rFonts w:ascii="宋体" w:hAnsi="宋体"/>
          <w:color w:val="auto"/>
          <w:sz w:val="22"/>
          <w:szCs w:val="22"/>
          <w:highlight w:val="none"/>
        </w:rPr>
        <w:t>%</w:t>
      </w:r>
      <w:r>
        <w:rPr>
          <w:rFonts w:hint="eastAsia" w:ascii="宋体" w:hAnsi="宋体"/>
          <w:color w:val="auto"/>
          <w:sz w:val="22"/>
          <w:szCs w:val="22"/>
          <w:highlight w:val="none"/>
        </w:rPr>
        <w:t>，第二次房屋变形观测和裂缝检查鉴定报告完成后支付合同价款50</w:t>
      </w:r>
      <w:r>
        <w:rPr>
          <w:rFonts w:ascii="宋体" w:hAnsi="宋体"/>
          <w:color w:val="auto"/>
          <w:sz w:val="22"/>
          <w:szCs w:val="22"/>
          <w:highlight w:val="none"/>
        </w:rPr>
        <w:t>%</w:t>
      </w:r>
      <w:r>
        <w:rPr>
          <w:rFonts w:hint="eastAsia" w:ascii="宋体" w:hAnsi="宋体"/>
          <w:color w:val="auto"/>
          <w:sz w:val="22"/>
          <w:szCs w:val="22"/>
          <w:highlight w:val="none"/>
        </w:rPr>
        <w:t>。</w:t>
      </w:r>
    </w:p>
    <w:p>
      <w:pPr>
        <w:spacing w:line="420" w:lineRule="atLeast"/>
        <w:ind w:firstLine="453" w:firstLineChars="206"/>
        <w:rPr>
          <w:rFonts w:hint="eastAsia" w:ascii="宋体" w:hAnsi="宋体"/>
          <w:color w:val="auto"/>
          <w:sz w:val="22"/>
          <w:szCs w:val="22"/>
          <w:highlight w:val="none"/>
        </w:rPr>
      </w:pPr>
      <w:r>
        <w:rPr>
          <w:rFonts w:hint="eastAsia" w:ascii="宋体" w:hAnsi="宋体"/>
          <w:color w:val="auto"/>
          <w:sz w:val="22"/>
          <w:szCs w:val="22"/>
          <w:highlight w:val="none"/>
        </w:rPr>
        <w:t>2、整个工程（虎门镇201</w:t>
      </w:r>
      <w:r>
        <w:rPr>
          <w:rFonts w:hint="eastAsia" w:hAnsi="宋体"/>
          <w:color w:val="auto"/>
          <w:sz w:val="22"/>
          <w:szCs w:val="22"/>
          <w:highlight w:val="none"/>
          <w:lang w:val="en-US" w:eastAsia="zh-CN"/>
        </w:rPr>
        <w:t>6</w:t>
      </w:r>
      <w:r>
        <w:rPr>
          <w:rFonts w:hint="eastAsia" w:ascii="宋体" w:hAnsi="宋体"/>
          <w:color w:val="auto"/>
          <w:sz w:val="22"/>
          <w:szCs w:val="22"/>
          <w:highlight w:val="none"/>
        </w:rPr>
        <w:t>-201</w:t>
      </w:r>
      <w:r>
        <w:rPr>
          <w:rFonts w:hint="eastAsia" w:hAnsi="宋体"/>
          <w:color w:val="auto"/>
          <w:sz w:val="22"/>
          <w:szCs w:val="22"/>
          <w:highlight w:val="none"/>
          <w:lang w:val="en-US" w:eastAsia="zh-CN"/>
        </w:rPr>
        <w:t>8</w:t>
      </w:r>
      <w:r>
        <w:rPr>
          <w:rFonts w:hint="eastAsia" w:ascii="宋体" w:hAnsi="宋体"/>
          <w:color w:val="auto"/>
          <w:sz w:val="22"/>
          <w:szCs w:val="22"/>
          <w:highlight w:val="none"/>
        </w:rPr>
        <w:t>年截污次支管网工程）完工及竣工验收之后</w:t>
      </w:r>
      <w:r>
        <w:rPr>
          <w:rFonts w:ascii="宋体" w:hAnsi="宋体"/>
          <w:color w:val="auto"/>
          <w:sz w:val="22"/>
          <w:szCs w:val="22"/>
          <w:highlight w:val="none"/>
        </w:rPr>
        <w:t>30</w:t>
      </w:r>
      <w:r>
        <w:rPr>
          <w:rFonts w:hint="eastAsia" w:ascii="宋体" w:hAnsi="宋体"/>
          <w:color w:val="auto"/>
          <w:sz w:val="22"/>
          <w:szCs w:val="22"/>
          <w:highlight w:val="none"/>
        </w:rPr>
        <w:t>天内，采购人按结算价一次性支付余款。</w:t>
      </w:r>
    </w:p>
    <w:p>
      <w:pPr>
        <w:spacing w:line="420" w:lineRule="atLeast"/>
        <w:ind w:firstLine="494" w:firstLineChars="206"/>
        <w:rPr>
          <w:rFonts w:hint="eastAsia" w:ascii="宋体" w:hAnsi="宋体" w:cs="宋体"/>
          <w:color w:val="auto"/>
          <w:sz w:val="24"/>
          <w:szCs w:val="24"/>
          <w:highlight w:val="none"/>
        </w:rPr>
      </w:pPr>
    </w:p>
    <w:p>
      <w:pPr>
        <w:pStyle w:val="3"/>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0" w:firstLineChars="0"/>
        <w:jc w:val="left"/>
        <w:textAlignment w:val="auto"/>
        <w:rPr>
          <w:rFonts w:hint="eastAsia" w:ascii="宋体" w:hAnsi="宋体"/>
          <w:b/>
          <w:color w:val="auto"/>
          <w:spacing w:val="20"/>
          <w:sz w:val="24"/>
          <w:szCs w:val="24"/>
          <w:highlight w:val="none"/>
        </w:rPr>
      </w:pPr>
      <w:bookmarkStart w:id="7" w:name="_Toc23408"/>
      <w:r>
        <w:rPr>
          <w:rFonts w:hint="eastAsia"/>
          <w:b/>
          <w:color w:val="auto"/>
          <w:spacing w:val="20"/>
          <w:sz w:val="24"/>
          <w:szCs w:val="24"/>
          <w:highlight w:val="none"/>
          <w:lang w:eastAsia="zh-CN"/>
        </w:rPr>
        <w:t>七</w:t>
      </w:r>
      <w:r>
        <w:rPr>
          <w:rFonts w:hint="eastAsia" w:ascii="宋体" w:hAnsi="宋体"/>
          <w:b/>
          <w:color w:val="auto"/>
          <w:spacing w:val="20"/>
          <w:sz w:val="24"/>
          <w:szCs w:val="24"/>
          <w:highlight w:val="none"/>
        </w:rPr>
        <w:t>、完工期</w:t>
      </w:r>
      <w:bookmarkEnd w:id="7"/>
    </w:p>
    <w:p>
      <w:pPr>
        <w:spacing w:line="420" w:lineRule="atLeast"/>
        <w:ind w:firstLine="453" w:firstLineChars="206"/>
        <w:rPr>
          <w:rFonts w:hint="eastAsia" w:ascii="宋体" w:hAnsi="宋体"/>
          <w:color w:val="auto"/>
          <w:sz w:val="22"/>
          <w:szCs w:val="22"/>
          <w:highlight w:val="none"/>
        </w:rPr>
      </w:pPr>
      <w:r>
        <w:rPr>
          <w:rFonts w:hint="eastAsia" w:ascii="宋体" w:hAnsi="宋体"/>
          <w:color w:val="auto"/>
          <w:sz w:val="22"/>
          <w:szCs w:val="22"/>
          <w:highlight w:val="none"/>
        </w:rPr>
        <w:t>1、自合同签订之日起的25个工作日内完成现场测量检查鉴定工作。</w:t>
      </w:r>
    </w:p>
    <w:p>
      <w:pPr>
        <w:spacing w:line="420" w:lineRule="atLeast"/>
        <w:ind w:firstLine="453" w:firstLineChars="206"/>
        <w:rPr>
          <w:rFonts w:hint="eastAsia" w:ascii="宋体" w:hAnsi="宋体"/>
          <w:color w:val="auto"/>
          <w:sz w:val="22"/>
          <w:szCs w:val="22"/>
          <w:highlight w:val="none"/>
        </w:rPr>
      </w:pPr>
      <w:r>
        <w:rPr>
          <w:rFonts w:hint="eastAsia" w:ascii="宋体" w:hAnsi="宋体"/>
          <w:color w:val="auto"/>
          <w:sz w:val="22"/>
          <w:szCs w:val="22"/>
          <w:highlight w:val="none"/>
        </w:rPr>
        <w:t>2、自每次现场工作完成后的20个工作日内出具房屋变形观测和裂缝检查鉴定报告。</w:t>
      </w:r>
    </w:p>
    <w:p>
      <w:pPr>
        <w:numPr>
          <w:ilvl w:val="0"/>
          <w:numId w:val="0"/>
        </w:numPr>
        <w:spacing w:line="360" w:lineRule="auto"/>
        <w:ind w:leftChars="200"/>
        <w:rPr>
          <w:rFonts w:hint="eastAsia" w:hAnsi="宋体"/>
          <w:color w:val="auto"/>
          <w:sz w:val="21"/>
          <w:szCs w:val="21"/>
          <w:highlight w:val="none"/>
        </w:rPr>
      </w:pPr>
    </w:p>
    <w:p>
      <w:pPr>
        <w:pStyle w:val="3"/>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0" w:firstLineChars="0"/>
        <w:jc w:val="left"/>
        <w:textAlignment w:val="auto"/>
        <w:rPr>
          <w:rFonts w:hint="eastAsia" w:hAnsi="宋体" w:eastAsia="宋体"/>
          <w:color w:val="auto"/>
          <w:sz w:val="24"/>
          <w:szCs w:val="24"/>
          <w:highlight w:val="none"/>
          <w:lang w:eastAsia="zh-CN"/>
        </w:rPr>
      </w:pPr>
      <w:bookmarkStart w:id="8" w:name="_Toc7563"/>
      <w:r>
        <w:rPr>
          <w:rFonts w:hint="eastAsia" w:hAnsi="宋体"/>
          <w:color w:val="auto"/>
          <w:sz w:val="24"/>
          <w:szCs w:val="24"/>
          <w:highlight w:val="none"/>
          <w:lang w:eastAsia="zh-CN"/>
        </w:rPr>
        <w:t>附件一：虎门镇2016-2018年截污次支管网工程房屋安全鉴定数量统计表</w:t>
      </w:r>
      <w:bookmarkEnd w:id="8"/>
    </w:p>
    <w:tbl>
      <w:tblPr>
        <w:tblStyle w:val="5"/>
        <w:tblW w:w="9549"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230"/>
        <w:gridCol w:w="2652"/>
        <w:gridCol w:w="1350"/>
        <w:gridCol w:w="1417"/>
        <w:gridCol w:w="1467"/>
        <w:gridCol w:w="14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82"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管网</w:t>
            </w:r>
            <w:r>
              <w:rPr>
                <w:rFonts w:hint="eastAsia" w:ascii="宋体" w:hAnsi="宋体" w:eastAsia="宋体" w:cs="宋体"/>
                <w:i w:val="0"/>
                <w:color w:val="auto"/>
                <w:kern w:val="0"/>
                <w:sz w:val="22"/>
                <w:szCs w:val="22"/>
                <w:highlight w:val="none"/>
                <w:u w:val="none"/>
                <w:lang w:val="en-US" w:eastAsia="zh-CN" w:bidi="ar"/>
              </w:rPr>
              <w:br w:type="textWrapping"/>
            </w:r>
            <w:r>
              <w:rPr>
                <w:rFonts w:hint="eastAsia" w:ascii="宋体" w:hAnsi="宋体" w:eastAsia="宋体" w:cs="宋体"/>
                <w:i w:val="0"/>
                <w:color w:val="auto"/>
                <w:kern w:val="0"/>
                <w:sz w:val="22"/>
                <w:szCs w:val="22"/>
                <w:highlight w:val="none"/>
                <w:u w:val="none"/>
                <w:lang w:val="en-US" w:eastAsia="zh-CN" w:bidi="ar"/>
              </w:rPr>
              <w:t>片区</w:t>
            </w:r>
          </w:p>
        </w:tc>
        <w:tc>
          <w:tcPr>
            <w:tcW w:w="265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片区</w:t>
            </w:r>
            <w:r>
              <w:rPr>
                <w:rFonts w:hint="eastAsia" w:ascii="宋体" w:hAnsi="宋体" w:eastAsia="宋体" w:cs="宋体"/>
                <w:i w:val="0"/>
                <w:color w:val="auto"/>
                <w:kern w:val="0"/>
                <w:sz w:val="22"/>
                <w:szCs w:val="22"/>
                <w:highlight w:val="none"/>
                <w:u w:val="none"/>
                <w:lang w:val="en-US" w:eastAsia="zh-CN" w:bidi="ar"/>
              </w:rPr>
              <w:br w:type="textWrapping"/>
            </w:r>
            <w:r>
              <w:rPr>
                <w:rFonts w:hint="eastAsia" w:ascii="宋体" w:hAnsi="宋体" w:eastAsia="宋体" w:cs="宋体"/>
                <w:i w:val="0"/>
                <w:color w:val="auto"/>
                <w:kern w:val="0"/>
                <w:sz w:val="22"/>
                <w:szCs w:val="22"/>
                <w:highlight w:val="none"/>
                <w:u w:val="none"/>
                <w:lang w:val="en-US" w:eastAsia="zh-CN" w:bidi="ar"/>
              </w:rPr>
              <w:t>范围</w:t>
            </w:r>
          </w:p>
        </w:tc>
        <w:tc>
          <w:tcPr>
            <w:tcW w:w="13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房屋鉴定数量</w:t>
            </w:r>
          </w:p>
        </w:tc>
        <w:tc>
          <w:tcPr>
            <w:tcW w:w="141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房屋鉴定面积</w:t>
            </w:r>
          </w:p>
        </w:tc>
        <w:tc>
          <w:tcPr>
            <w:tcW w:w="146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鉴定收费标准</w:t>
            </w:r>
          </w:p>
        </w:tc>
        <w:tc>
          <w:tcPr>
            <w:tcW w:w="14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房屋鉴定费用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82"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第一</w:t>
            </w:r>
            <w:r>
              <w:rPr>
                <w:rFonts w:hint="eastAsia" w:ascii="宋体" w:hAnsi="宋体" w:eastAsia="宋体" w:cs="宋体"/>
                <w:i w:val="0"/>
                <w:color w:val="auto"/>
                <w:kern w:val="0"/>
                <w:sz w:val="22"/>
                <w:szCs w:val="22"/>
                <w:highlight w:val="none"/>
                <w:u w:val="none"/>
                <w:lang w:val="en-US" w:eastAsia="zh-CN" w:bidi="ar"/>
              </w:rPr>
              <w:br w:type="textWrapping"/>
            </w:r>
            <w:r>
              <w:rPr>
                <w:rFonts w:hint="eastAsia" w:ascii="宋体" w:hAnsi="宋体" w:eastAsia="宋体" w:cs="宋体"/>
                <w:i w:val="0"/>
                <w:color w:val="auto"/>
                <w:kern w:val="0"/>
                <w:sz w:val="22"/>
                <w:szCs w:val="22"/>
                <w:highlight w:val="none"/>
                <w:u w:val="none"/>
                <w:lang w:val="en-US" w:eastAsia="zh-CN" w:bidi="ar"/>
              </w:rPr>
              <w:t>片区</w:t>
            </w:r>
          </w:p>
        </w:tc>
        <w:tc>
          <w:tcPr>
            <w:tcW w:w="265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金宁路、宁江路、宁馨北路、麒麟西路、建设南路、江涌路</w:t>
            </w:r>
          </w:p>
        </w:tc>
        <w:tc>
          <w:tcPr>
            <w:tcW w:w="13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8栋</w:t>
            </w:r>
          </w:p>
        </w:tc>
        <w:tc>
          <w:tcPr>
            <w:tcW w:w="141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4400㎡</w:t>
            </w:r>
          </w:p>
        </w:tc>
        <w:tc>
          <w:tcPr>
            <w:tcW w:w="146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24元/㎡</w:t>
            </w:r>
          </w:p>
        </w:tc>
        <w:tc>
          <w:tcPr>
            <w:tcW w:w="14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105600元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82"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第二</w:t>
            </w:r>
            <w:r>
              <w:rPr>
                <w:rFonts w:hint="eastAsia" w:ascii="宋体" w:hAnsi="宋体" w:eastAsia="宋体" w:cs="宋体"/>
                <w:i w:val="0"/>
                <w:color w:val="auto"/>
                <w:kern w:val="0"/>
                <w:sz w:val="22"/>
                <w:szCs w:val="22"/>
                <w:highlight w:val="none"/>
                <w:u w:val="none"/>
                <w:lang w:val="en-US" w:eastAsia="zh-CN" w:bidi="ar"/>
              </w:rPr>
              <w:br w:type="textWrapping"/>
            </w:r>
            <w:r>
              <w:rPr>
                <w:rFonts w:hint="eastAsia" w:ascii="宋体" w:hAnsi="宋体" w:eastAsia="宋体" w:cs="宋体"/>
                <w:i w:val="0"/>
                <w:color w:val="auto"/>
                <w:kern w:val="0"/>
                <w:sz w:val="22"/>
                <w:szCs w:val="22"/>
                <w:highlight w:val="none"/>
                <w:u w:val="none"/>
                <w:lang w:val="en-US" w:eastAsia="zh-CN" w:bidi="ar"/>
              </w:rPr>
              <w:t>片区</w:t>
            </w:r>
          </w:p>
        </w:tc>
        <w:tc>
          <w:tcPr>
            <w:tcW w:w="265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环岛路、天培露、南北大道、长堤路、东方下路、人民北路、连升北路</w:t>
            </w:r>
          </w:p>
        </w:tc>
        <w:tc>
          <w:tcPr>
            <w:tcW w:w="13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62栋</w:t>
            </w:r>
          </w:p>
        </w:tc>
        <w:tc>
          <w:tcPr>
            <w:tcW w:w="141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34100㎡</w:t>
            </w:r>
          </w:p>
        </w:tc>
        <w:tc>
          <w:tcPr>
            <w:tcW w:w="146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24元/㎡</w:t>
            </w:r>
          </w:p>
        </w:tc>
        <w:tc>
          <w:tcPr>
            <w:tcW w:w="14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818400元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82"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第三</w:t>
            </w:r>
            <w:r>
              <w:rPr>
                <w:rFonts w:hint="eastAsia" w:ascii="宋体" w:hAnsi="宋体" w:eastAsia="宋体" w:cs="宋体"/>
                <w:i w:val="0"/>
                <w:color w:val="auto"/>
                <w:kern w:val="0"/>
                <w:sz w:val="22"/>
                <w:szCs w:val="22"/>
                <w:highlight w:val="none"/>
                <w:u w:val="none"/>
                <w:lang w:val="en-US" w:eastAsia="zh-CN" w:bidi="ar"/>
              </w:rPr>
              <w:br w:type="textWrapping"/>
            </w:r>
            <w:r>
              <w:rPr>
                <w:rFonts w:hint="eastAsia" w:ascii="宋体" w:hAnsi="宋体" w:eastAsia="宋体" w:cs="宋体"/>
                <w:i w:val="0"/>
                <w:color w:val="auto"/>
                <w:kern w:val="0"/>
                <w:sz w:val="22"/>
                <w:szCs w:val="22"/>
                <w:highlight w:val="none"/>
                <w:u w:val="none"/>
                <w:lang w:val="en-US" w:eastAsia="zh-CN" w:bidi="ar"/>
              </w:rPr>
              <w:t>片区</w:t>
            </w:r>
          </w:p>
        </w:tc>
        <w:tc>
          <w:tcPr>
            <w:tcW w:w="265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海景东路、南新路、文明路、文明里十五巷、文明路十八巷、太沙路、宴岗大道、路东大道、新安西路、东环二路、新围被二路、富民路、无名路</w:t>
            </w:r>
          </w:p>
        </w:tc>
        <w:tc>
          <w:tcPr>
            <w:tcW w:w="13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116栋</w:t>
            </w:r>
          </w:p>
        </w:tc>
        <w:tc>
          <w:tcPr>
            <w:tcW w:w="141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63800㎡</w:t>
            </w:r>
          </w:p>
        </w:tc>
        <w:tc>
          <w:tcPr>
            <w:tcW w:w="146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24元/㎡</w:t>
            </w:r>
          </w:p>
        </w:tc>
        <w:tc>
          <w:tcPr>
            <w:tcW w:w="14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1531200元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82"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第四</w:t>
            </w:r>
            <w:r>
              <w:rPr>
                <w:rFonts w:hint="eastAsia" w:ascii="宋体" w:hAnsi="宋体" w:eastAsia="宋体" w:cs="宋体"/>
                <w:i w:val="0"/>
                <w:color w:val="auto"/>
                <w:kern w:val="0"/>
                <w:sz w:val="22"/>
                <w:szCs w:val="22"/>
                <w:highlight w:val="none"/>
                <w:u w:val="none"/>
                <w:lang w:val="en-US" w:eastAsia="zh-CN" w:bidi="ar"/>
              </w:rPr>
              <w:br w:type="textWrapping"/>
            </w:r>
            <w:r>
              <w:rPr>
                <w:rFonts w:hint="eastAsia" w:ascii="宋体" w:hAnsi="宋体" w:eastAsia="宋体" w:cs="宋体"/>
                <w:i w:val="0"/>
                <w:color w:val="auto"/>
                <w:kern w:val="0"/>
                <w:sz w:val="22"/>
                <w:szCs w:val="22"/>
                <w:highlight w:val="none"/>
                <w:u w:val="none"/>
                <w:lang w:val="en-US" w:eastAsia="zh-CN" w:bidi="ar"/>
              </w:rPr>
              <w:t>片区</w:t>
            </w:r>
          </w:p>
        </w:tc>
        <w:tc>
          <w:tcPr>
            <w:tcW w:w="265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富民路、三江路、西湖路、太沙路、沙电路、沿河路、连升南路、振兴路</w:t>
            </w:r>
          </w:p>
        </w:tc>
        <w:tc>
          <w:tcPr>
            <w:tcW w:w="13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107栋</w:t>
            </w:r>
          </w:p>
        </w:tc>
        <w:tc>
          <w:tcPr>
            <w:tcW w:w="141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58850㎡</w:t>
            </w:r>
          </w:p>
        </w:tc>
        <w:tc>
          <w:tcPr>
            <w:tcW w:w="146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24元/㎡</w:t>
            </w:r>
          </w:p>
        </w:tc>
        <w:tc>
          <w:tcPr>
            <w:tcW w:w="14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1412400元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82"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合计</w:t>
            </w:r>
          </w:p>
        </w:tc>
        <w:tc>
          <w:tcPr>
            <w:tcW w:w="265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auto"/>
                <w:sz w:val="22"/>
                <w:szCs w:val="22"/>
                <w:highlight w:val="none"/>
                <w:u w:val="none"/>
              </w:rPr>
            </w:pPr>
          </w:p>
        </w:tc>
        <w:tc>
          <w:tcPr>
            <w:tcW w:w="13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293栋</w:t>
            </w:r>
          </w:p>
        </w:tc>
        <w:tc>
          <w:tcPr>
            <w:tcW w:w="141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161150㎡</w:t>
            </w:r>
          </w:p>
        </w:tc>
        <w:tc>
          <w:tcPr>
            <w:tcW w:w="146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24元/㎡</w:t>
            </w:r>
          </w:p>
        </w:tc>
        <w:tc>
          <w:tcPr>
            <w:tcW w:w="14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3867600元</w:t>
            </w:r>
          </w:p>
        </w:tc>
      </w:tr>
    </w:tbl>
    <w:p>
      <w:pPr>
        <w:spacing w:line="360" w:lineRule="auto"/>
        <w:ind w:firstLine="200"/>
        <w:contextualSpacing/>
        <w:rPr>
          <w:rFonts w:hint="eastAsia" w:ascii="Calibri" w:hAnsi="宋体" w:cs="宋体"/>
          <w:color w:val="auto"/>
          <w:kern w:val="2"/>
          <w:sz w:val="21"/>
          <w:szCs w:val="21"/>
          <w:highlight w:val="none"/>
          <w:lang w:eastAsia="zh-CN"/>
        </w:rPr>
      </w:pPr>
      <w:r>
        <w:rPr>
          <w:rFonts w:hint="eastAsia" w:ascii="Calibri" w:hAnsi="宋体" w:cs="宋体"/>
          <w:color w:val="auto"/>
          <w:kern w:val="2"/>
          <w:sz w:val="21"/>
          <w:szCs w:val="21"/>
          <w:highlight w:val="none"/>
        </w:rPr>
        <w:t>注：上表</w:t>
      </w:r>
      <w:r>
        <w:rPr>
          <w:rFonts w:hint="eastAsia" w:ascii="Calibri" w:hAnsi="宋体" w:cs="宋体"/>
          <w:color w:val="auto"/>
          <w:kern w:val="2"/>
          <w:sz w:val="21"/>
          <w:szCs w:val="21"/>
          <w:highlight w:val="none"/>
          <w:lang w:eastAsia="zh-CN"/>
        </w:rPr>
        <w:t>鉴定面积</w:t>
      </w:r>
      <w:r>
        <w:rPr>
          <w:rFonts w:hint="eastAsia" w:ascii="Calibri" w:hAnsi="宋体" w:cs="宋体"/>
          <w:color w:val="auto"/>
          <w:kern w:val="2"/>
          <w:sz w:val="21"/>
          <w:szCs w:val="21"/>
          <w:highlight w:val="none"/>
        </w:rPr>
        <w:t>为暂定量，结算时按照招标人确认的实际</w:t>
      </w:r>
      <w:r>
        <w:rPr>
          <w:rFonts w:hint="eastAsia" w:ascii="Calibri" w:hAnsi="宋体" w:cs="宋体"/>
          <w:color w:val="auto"/>
          <w:kern w:val="2"/>
          <w:sz w:val="21"/>
          <w:szCs w:val="21"/>
          <w:highlight w:val="none"/>
          <w:lang w:eastAsia="zh-CN"/>
        </w:rPr>
        <w:t>鉴定面积乘以中标综合单价</w:t>
      </w:r>
      <w:r>
        <w:rPr>
          <w:rFonts w:hint="eastAsia" w:ascii="Calibri" w:hAnsi="宋体" w:cs="宋体"/>
          <w:color w:val="auto"/>
          <w:kern w:val="2"/>
          <w:sz w:val="21"/>
          <w:szCs w:val="21"/>
          <w:highlight w:val="none"/>
        </w:rPr>
        <w:t>按实结算</w:t>
      </w:r>
      <w:r>
        <w:rPr>
          <w:rFonts w:hint="eastAsia" w:ascii="Calibri" w:hAnsi="宋体" w:cs="宋体"/>
          <w:color w:val="auto"/>
          <w:kern w:val="2"/>
          <w:sz w:val="21"/>
          <w:szCs w:val="21"/>
          <w:highlight w:val="none"/>
          <w:lang w:eastAsia="zh-CN"/>
        </w:rPr>
        <w:t>，中标人须按招标人提供的工程量完成全部鉴定工作。若结算价超过本项目预算价（</w:t>
      </w:r>
      <w:r>
        <w:rPr>
          <w:rFonts w:hint="eastAsia" w:ascii="Calibri" w:hAnsi="宋体" w:cs="宋体"/>
          <w:color w:val="auto"/>
          <w:kern w:val="2"/>
          <w:sz w:val="21"/>
          <w:szCs w:val="21"/>
          <w:highlight w:val="none"/>
        </w:rPr>
        <w:t>¥3,867,600.00元</w:t>
      </w:r>
      <w:r>
        <w:rPr>
          <w:rFonts w:hint="eastAsia" w:ascii="Calibri" w:hAnsi="宋体" w:cs="宋体"/>
          <w:color w:val="auto"/>
          <w:kern w:val="2"/>
          <w:sz w:val="21"/>
          <w:szCs w:val="21"/>
          <w:highlight w:val="none"/>
          <w:lang w:eastAsia="zh-CN"/>
        </w:rPr>
        <w:t>），则按本项目预算价结算，超出部分（超出总鉴定面积的</w:t>
      </w:r>
      <w:r>
        <w:rPr>
          <w:rFonts w:hint="eastAsia" w:ascii="Calibri" w:hAnsi="宋体" w:cs="宋体"/>
          <w:color w:val="auto"/>
          <w:kern w:val="2"/>
          <w:sz w:val="21"/>
          <w:szCs w:val="21"/>
          <w:highlight w:val="none"/>
          <w:lang w:val="en-US" w:eastAsia="zh-CN"/>
        </w:rPr>
        <w:t>5%以内</w:t>
      </w:r>
      <w:r>
        <w:rPr>
          <w:rFonts w:hint="eastAsia" w:ascii="Calibri" w:hAnsi="宋体" w:cs="宋体"/>
          <w:color w:val="auto"/>
          <w:kern w:val="2"/>
          <w:sz w:val="21"/>
          <w:szCs w:val="21"/>
          <w:highlight w:val="none"/>
          <w:lang w:eastAsia="zh-CN"/>
        </w:rPr>
        <w:t>）招标人不予承担。</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swiss"/>
    <w:pitch w:val="default"/>
    <w:sig w:usb0="E0002AFF" w:usb1="C0007843" w:usb2="00000009" w:usb3="00000000" w:csb0="400001FF" w:csb1="FFFF0000"/>
  </w:font>
  <w:font w:name="Garamond">
    <w:altName w:val="hakuyoxingshu7000"/>
    <w:panose1 w:val="02020502050306020203"/>
    <w:charset w:val="00"/>
    <w:family w:val="roman"/>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Courier New">
    <w:panose1 w:val="02070309020205020404"/>
    <w:charset w:val="00"/>
    <w:family w:val="modern"/>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Arial Black">
    <w:panose1 w:val="020B0A04020102020204"/>
    <w:charset w:val="00"/>
    <w:family w:val="swiss"/>
    <w:pitch w:val="default"/>
    <w:sig w:usb0="00000287" w:usb1="00000000" w:usb2="00000000" w:usb3="00000000" w:csb0="2000009F" w:csb1="DFD70000"/>
  </w:font>
  <w:font w:name="ˎ̥">
    <w:altName w:val="Times New Roman"/>
    <w:panose1 w:val="00000000000000000000"/>
    <w:charset w:val="00"/>
    <w:family w:val="roman"/>
    <w:pitch w:val="default"/>
    <w:sig w:usb0="00000000" w:usb1="00000000" w:usb2="00000000" w:usb3="00000000" w:csb0="00040001" w:csb1="00000000"/>
  </w:font>
  <w:font w:name="时尚中黑简体">
    <w:altName w:val="黑体"/>
    <w:panose1 w:val="01010104010101010101"/>
    <w:charset w:val="86"/>
    <w:family w:val="auto"/>
    <w:pitch w:val="default"/>
    <w:sig w:usb0="00000000" w:usb1="00000000" w:usb2="00000012" w:usb3="00000000" w:csb0="00040001" w:csb1="00000000"/>
  </w:font>
  <w:font w:name="hakuyoxingshu7000">
    <w:panose1 w:val="02000600000000000000"/>
    <w:charset w:val="86"/>
    <w:family w:val="auto"/>
    <w:pitch w:val="default"/>
    <w:sig w:usb0="FFFFFFFF" w:usb1="E9FFFFFF" w:usb2="0000003F" w:usb3="00000000" w:csb0="603F00FF" w:csb1="FFFF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F52E6F"/>
    <w:rsid w:val="2DF52E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adjustRightInd w:val="0"/>
    </w:pPr>
    <w:rPr>
      <w:rFonts w:ascii="宋体"/>
      <w:sz w:val="24"/>
      <w:szCs w:val="24"/>
      <w:lang w:val="en-US" w:eastAsia="zh-CN" w:bidi="ar-SA"/>
    </w:rPr>
  </w:style>
  <w:style w:type="paragraph" w:styleId="2">
    <w:name w:val="heading 1"/>
    <w:basedOn w:val="1"/>
    <w:next w:val="1"/>
    <w:qFormat/>
    <w:uiPriority w:val="0"/>
    <w:pPr>
      <w:outlineLvl w:val="0"/>
    </w:pPr>
  </w:style>
  <w:style w:type="paragraph" w:styleId="3">
    <w:name w:val="heading 2"/>
    <w:basedOn w:val="1"/>
    <w:next w:val="1"/>
    <w:semiHidden/>
    <w:unhideWhenUsed/>
    <w:qFormat/>
    <w:uiPriority w:val="0"/>
    <w:pPr>
      <w:outlineLvl w:val="1"/>
    </w:pPr>
    <w:rPr>
      <w:rFonts w:hAnsi="宋体" w:eastAsia="宋体"/>
      <w:b/>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2018-01-10T01:24:00Z</dcterms:created>
  <dc:creator>lyy</dc:creator>
  <cp:lastModifiedBy>lyy</cp:lastModifiedBy>
  <dcterms:modified xsi:type="dcterms:W3CDTF">2018-01-10T01:26:24Z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