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宋体" w:hAnsi="宋体" w:eastAsia="宋体" w:cs="宋体"/>
          <w:b/>
          <w:bCs/>
          <w:kern w:val="0"/>
          <w:sz w:val="30"/>
          <w:szCs w:val="30"/>
        </w:rPr>
      </w:pPr>
      <w:r>
        <w:rPr>
          <w:rFonts w:hint="eastAsia" w:ascii="宋体" w:hAnsi="宋体" w:eastAsia="宋体" w:cs="宋体"/>
          <w:b/>
          <w:bCs/>
          <w:kern w:val="0"/>
          <w:sz w:val="30"/>
          <w:szCs w:val="30"/>
        </w:rPr>
        <w:t>广东工业大学东风路校区政法学院</w:t>
      </w:r>
      <w:r>
        <w:rPr>
          <w:rFonts w:ascii="宋体" w:hAnsi="宋体" w:eastAsia="宋体" w:cs="宋体"/>
          <w:b/>
          <w:bCs/>
          <w:kern w:val="0"/>
          <w:sz w:val="30"/>
          <w:szCs w:val="30"/>
        </w:rPr>
        <w:t>楼房结构鉴定</w:t>
      </w:r>
      <w:r>
        <w:rPr>
          <w:rFonts w:hint="eastAsia" w:ascii="宋体" w:hAnsi="宋体" w:eastAsia="宋体" w:cs="宋体"/>
          <w:b/>
          <w:bCs/>
          <w:kern w:val="0"/>
          <w:sz w:val="30"/>
          <w:szCs w:val="30"/>
        </w:rPr>
        <w:t>项目</w:t>
      </w:r>
      <w:r>
        <w:rPr>
          <w:rFonts w:ascii="宋体" w:hAnsi="宋体" w:eastAsia="宋体" w:cs="宋体"/>
          <w:b/>
          <w:bCs/>
          <w:kern w:val="0"/>
          <w:sz w:val="30"/>
          <w:szCs w:val="30"/>
        </w:rPr>
        <w:t>询价</w:t>
      </w:r>
      <w:r>
        <w:rPr>
          <w:rFonts w:hint="eastAsia" w:ascii="宋体" w:hAnsi="宋体" w:eastAsia="宋体" w:cs="宋体"/>
          <w:b/>
          <w:bCs/>
          <w:kern w:val="0"/>
          <w:sz w:val="30"/>
          <w:szCs w:val="30"/>
        </w:rPr>
        <w:t>文件</w:t>
      </w:r>
    </w:p>
    <w:p>
      <w:pPr>
        <w:widowControl/>
        <w:spacing w:line="360" w:lineRule="auto"/>
        <w:jc w:val="left"/>
        <w:rPr>
          <w:rFonts w:ascii="宋体" w:hAnsi="宋体" w:eastAsia="宋体" w:cs="宋体"/>
          <w:kern w:val="0"/>
          <w:sz w:val="24"/>
          <w:szCs w:val="24"/>
        </w:rPr>
      </w:pPr>
    </w:p>
    <w:p>
      <w:pPr>
        <w:widowControl/>
        <w:spacing w:line="460" w:lineRule="exact"/>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一、项目编号</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 </w:t>
      </w:r>
      <w:r>
        <w:t xml:space="preserve"> </w:t>
      </w:r>
      <w:r>
        <w:rPr>
          <w:rFonts w:cs="宋体" w:asciiTheme="minorEastAsia" w:hAnsiTheme="minorEastAsia"/>
          <w:kern w:val="0"/>
          <w:sz w:val="24"/>
          <w:szCs w:val="24"/>
        </w:rPr>
        <w:t>HQGLC2018[013]</w:t>
      </w:r>
    </w:p>
    <w:p>
      <w:pPr>
        <w:widowControl/>
        <w:spacing w:line="360" w:lineRule="auto"/>
        <w:ind w:firstLine="480" w:firstLineChars="200"/>
        <w:rPr>
          <w:rFonts w:ascii="宋体" w:hAnsi="宋体" w:eastAsia="宋体" w:cs="宋体"/>
          <w:bCs/>
          <w:kern w:val="0"/>
          <w:sz w:val="24"/>
          <w:szCs w:val="24"/>
        </w:rPr>
      </w:pPr>
      <w:r>
        <w:rPr>
          <w:rFonts w:cs="宋体" w:asciiTheme="minorEastAsia" w:hAnsiTheme="minorEastAsia"/>
          <w:kern w:val="0"/>
          <w:sz w:val="24"/>
          <w:szCs w:val="24"/>
        </w:rPr>
        <w:t>二、项目名称：</w:t>
      </w:r>
      <w:r>
        <w:rPr>
          <w:rFonts w:hint="eastAsia" w:ascii="宋体" w:hAnsi="宋体" w:eastAsia="宋体" w:cs="宋体"/>
          <w:bCs/>
          <w:kern w:val="0"/>
          <w:sz w:val="24"/>
          <w:szCs w:val="24"/>
        </w:rPr>
        <w:t>东风路校区政法学院</w:t>
      </w:r>
      <w:r>
        <w:rPr>
          <w:rFonts w:ascii="宋体" w:hAnsi="宋体" w:eastAsia="宋体" w:cs="宋体"/>
          <w:bCs/>
          <w:kern w:val="0"/>
          <w:sz w:val="24"/>
          <w:szCs w:val="24"/>
        </w:rPr>
        <w:t>楼房结构鉴定</w:t>
      </w:r>
    </w:p>
    <w:p>
      <w:pPr>
        <w:widowControl/>
        <w:spacing w:line="360" w:lineRule="auto"/>
        <w:ind w:firstLine="480" w:firstLineChars="200"/>
        <w:rPr>
          <w:rFonts w:cs="宋体" w:asciiTheme="minorEastAsia" w:hAnsiTheme="minorEastAsia"/>
          <w:kern w:val="0"/>
          <w:sz w:val="24"/>
          <w:szCs w:val="24"/>
        </w:rPr>
      </w:pPr>
      <w:r>
        <w:rPr>
          <w:rFonts w:cs="宋体" w:asciiTheme="minorEastAsia" w:hAnsiTheme="minorEastAsia"/>
          <w:kern w:val="0"/>
          <w:sz w:val="24"/>
          <w:szCs w:val="24"/>
        </w:rPr>
        <w:t>三、采购预算：7.8</w:t>
      </w:r>
      <w:r>
        <w:rPr>
          <w:rFonts w:hint="eastAsia" w:cs="宋体" w:asciiTheme="minorEastAsia" w:hAnsiTheme="minorEastAsia"/>
          <w:kern w:val="0"/>
          <w:sz w:val="24"/>
          <w:szCs w:val="24"/>
        </w:rPr>
        <w:t>万</w:t>
      </w:r>
      <w:r>
        <w:rPr>
          <w:rFonts w:cs="宋体" w:asciiTheme="minorEastAsia" w:hAnsiTheme="minorEastAsia"/>
          <w:kern w:val="0"/>
          <w:sz w:val="24"/>
          <w:szCs w:val="24"/>
        </w:rPr>
        <w:t>元</w:t>
      </w:r>
    </w:p>
    <w:p>
      <w:pPr>
        <w:widowControl/>
        <w:spacing w:line="460" w:lineRule="exact"/>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四、项目需求部门：后勤</w:t>
      </w:r>
      <w:r>
        <w:rPr>
          <w:rFonts w:hint="eastAsia" w:cs="宋体" w:asciiTheme="minorEastAsia" w:hAnsiTheme="minorEastAsia"/>
          <w:kern w:val="0"/>
          <w:sz w:val="24"/>
          <w:szCs w:val="24"/>
        </w:rPr>
        <w:t>管理处房屋及</w:t>
      </w:r>
      <w:r>
        <w:rPr>
          <w:rFonts w:cs="宋体" w:asciiTheme="minorEastAsia" w:hAnsiTheme="minorEastAsia"/>
          <w:kern w:val="0"/>
          <w:sz w:val="24"/>
          <w:szCs w:val="24"/>
        </w:rPr>
        <w:t>维修办公室</w:t>
      </w:r>
    </w:p>
    <w:p>
      <w:pPr>
        <w:widowControl/>
        <w:spacing w:line="460" w:lineRule="exact"/>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五、报价人资格：</w:t>
      </w:r>
    </w:p>
    <w:p>
      <w:pPr>
        <w:widowControl/>
        <w:spacing w:line="460" w:lineRule="exact"/>
        <w:ind w:firstLine="360" w:firstLineChars="15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1.报价人应具备《政府采购法》第二十二条规定的条件。</w:t>
      </w:r>
    </w:p>
    <w:p>
      <w:pPr>
        <w:widowControl/>
        <w:spacing w:line="460" w:lineRule="exact"/>
        <w:ind w:firstLine="360" w:firstLineChars="15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2.报价人均具有独立法人资格，持有工商行政管理部门核发的法人营业执照，按国家法律经营。</w:t>
      </w:r>
    </w:p>
    <w:p>
      <w:pPr>
        <w:widowControl/>
        <w:spacing w:line="460" w:lineRule="exact"/>
        <w:ind w:firstLine="360" w:firstLineChars="15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3.报价人资质：</w:t>
      </w:r>
    </w:p>
    <w:p>
      <w:pPr>
        <w:widowControl/>
        <w:spacing w:line="460" w:lineRule="exact"/>
        <w:ind w:firstLine="360" w:firstLineChars="15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具备政府建设主管部门颁发的房屋安全</w:t>
      </w:r>
      <w:r>
        <w:rPr>
          <w:rFonts w:cs="宋体" w:asciiTheme="majorEastAsia" w:hAnsiTheme="majorEastAsia" w:eastAsiaTheme="majorEastAsia"/>
          <w:bCs/>
          <w:color w:val="000000"/>
          <w:kern w:val="0"/>
          <w:sz w:val="24"/>
          <w:szCs w:val="24"/>
        </w:rPr>
        <w:t>鉴定单位备案证书。</w:t>
      </w:r>
    </w:p>
    <w:p>
      <w:pPr>
        <w:spacing w:line="520" w:lineRule="exact"/>
        <w:ind w:firstLine="360" w:firstLineChars="150"/>
        <w:outlineLvl w:val="0"/>
        <w:rPr>
          <w:rFonts w:asciiTheme="majorEastAsia" w:hAnsiTheme="majorEastAsia" w:eastAsiaTheme="majorEastAsia"/>
          <w:sz w:val="24"/>
          <w:szCs w:val="24"/>
        </w:rPr>
      </w:pPr>
      <w:r>
        <w:rPr>
          <w:rFonts w:hint="eastAsia" w:asciiTheme="majorEastAsia" w:hAnsiTheme="majorEastAsia" w:eastAsiaTheme="majorEastAsia"/>
          <w:sz w:val="24"/>
          <w:szCs w:val="24"/>
        </w:rPr>
        <w:t>4</w:t>
      </w:r>
      <w:r>
        <w:rPr>
          <w:rFonts w:asciiTheme="majorEastAsia" w:hAnsiTheme="majorEastAsia" w:eastAsiaTheme="majorEastAsia"/>
          <w:sz w:val="24"/>
          <w:szCs w:val="24"/>
        </w:rPr>
        <w:t>、</w:t>
      </w:r>
      <w:r>
        <w:rPr>
          <w:rFonts w:hint="eastAsia" w:asciiTheme="majorEastAsia" w:hAnsiTheme="majorEastAsia" w:eastAsiaTheme="majorEastAsia"/>
          <w:sz w:val="24"/>
          <w:szCs w:val="24"/>
        </w:rPr>
        <w:t>检测鉴定主要有</w:t>
      </w:r>
      <w:r>
        <w:rPr>
          <w:rFonts w:asciiTheme="majorEastAsia" w:hAnsiTheme="majorEastAsia" w:eastAsiaTheme="majorEastAsia"/>
          <w:sz w:val="24"/>
          <w:szCs w:val="24"/>
        </w:rPr>
        <w:t>以下</w:t>
      </w:r>
      <w:r>
        <w:rPr>
          <w:rFonts w:hint="eastAsia" w:asciiTheme="majorEastAsia" w:hAnsiTheme="majorEastAsia" w:eastAsiaTheme="majorEastAsia"/>
          <w:sz w:val="24"/>
          <w:szCs w:val="24"/>
        </w:rPr>
        <w:t>工作内容</w:t>
      </w:r>
    </w:p>
    <w:p>
      <w:pPr>
        <w:spacing w:line="520" w:lineRule="exact"/>
        <w:ind w:firstLine="480" w:firstLineChars="200"/>
        <w:outlineLvl w:val="1"/>
        <w:rPr>
          <w:rFonts w:asciiTheme="majorEastAsia" w:hAnsiTheme="majorEastAsia" w:eastAsiaTheme="majorEastAsia"/>
          <w:sz w:val="24"/>
          <w:szCs w:val="24"/>
        </w:rPr>
      </w:pPr>
      <w:bookmarkStart w:id="0" w:name="_Toc413935607"/>
      <w:r>
        <w:rPr>
          <w:rFonts w:hint="eastAsia" w:asciiTheme="majorEastAsia" w:hAnsiTheme="majorEastAsia" w:eastAsiaTheme="majorEastAsia"/>
          <w:sz w:val="24"/>
          <w:szCs w:val="24"/>
        </w:rPr>
        <w:t>㈠</w:t>
      </w:r>
      <w:r>
        <w:rPr>
          <w:rFonts w:asciiTheme="majorEastAsia" w:hAnsiTheme="majorEastAsia" w:eastAsiaTheme="majorEastAsia"/>
          <w:sz w:val="24"/>
          <w:szCs w:val="24"/>
        </w:rPr>
        <w:t>、</w:t>
      </w:r>
      <w:r>
        <w:rPr>
          <w:rFonts w:hint="eastAsia" w:asciiTheme="majorEastAsia" w:hAnsiTheme="majorEastAsia" w:eastAsiaTheme="majorEastAsia"/>
          <w:sz w:val="24"/>
          <w:szCs w:val="24"/>
        </w:rPr>
        <w:t>资料调查</w:t>
      </w:r>
      <w:bookmarkEnd w:id="0"/>
    </w:p>
    <w:p>
      <w:pPr>
        <w:spacing w:line="50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1、图纸资料调查：包括岩土工程勘察报告、建筑与结构施工图、施工变更记录、竣工图、竣工质检及验收文件等，了解原设计意图、要求和技术背景；</w:t>
      </w:r>
    </w:p>
    <w:p>
      <w:pPr>
        <w:spacing w:line="50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2、建筑物历史调查：包括房屋的原始施工、竣工日期，使用过程中的修缮、改造、扩建、加固情况，用途变更筑物、使用条件改变及受灾情况等；</w:t>
      </w:r>
    </w:p>
    <w:p>
      <w:pPr>
        <w:spacing w:line="50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3、调查建筑物的使用条件和内、外环境状况（荷载历史）。</w:t>
      </w:r>
    </w:p>
    <w:p>
      <w:pPr>
        <w:spacing w:line="520" w:lineRule="exact"/>
        <w:ind w:firstLine="480" w:firstLineChars="200"/>
        <w:outlineLvl w:val="1"/>
        <w:rPr>
          <w:rFonts w:asciiTheme="majorEastAsia" w:hAnsiTheme="majorEastAsia" w:eastAsiaTheme="majorEastAsia"/>
          <w:sz w:val="24"/>
          <w:szCs w:val="24"/>
        </w:rPr>
      </w:pPr>
      <w:bookmarkStart w:id="1" w:name="_Toc413935608"/>
      <w:bookmarkStart w:id="2" w:name="_Toc413254215"/>
      <w:r>
        <w:rPr>
          <w:rFonts w:hint="eastAsia" w:asciiTheme="majorEastAsia" w:hAnsiTheme="majorEastAsia" w:eastAsiaTheme="majorEastAsia"/>
          <w:sz w:val="24"/>
          <w:szCs w:val="24"/>
        </w:rPr>
        <w:t>㈡、现场勘查</w:t>
      </w:r>
      <w:bookmarkEnd w:id="1"/>
      <w:bookmarkEnd w:id="2"/>
    </w:p>
    <w:p>
      <w:pPr>
        <w:spacing w:line="50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1、结构使用状况勘查：</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⑴、</w:t>
      </w:r>
      <w:r>
        <w:rPr>
          <w:rFonts w:hint="eastAsia" w:asciiTheme="majorEastAsia" w:hAnsiTheme="majorEastAsia" w:eastAsiaTheme="majorEastAsia"/>
          <w:sz w:val="24"/>
          <w:szCs w:val="24"/>
        </w:rPr>
        <w:t>房屋地基基础的基本情况</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①、</w:t>
      </w:r>
      <w:r>
        <w:rPr>
          <w:rFonts w:hint="eastAsia" w:asciiTheme="majorEastAsia" w:hAnsiTheme="majorEastAsia" w:eastAsiaTheme="majorEastAsia"/>
          <w:sz w:val="24"/>
          <w:szCs w:val="24"/>
        </w:rPr>
        <w:t>检查基础是否有不均匀沉降的迹象。</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②、</w:t>
      </w:r>
      <w:r>
        <w:rPr>
          <w:rFonts w:hint="eastAsia" w:asciiTheme="majorEastAsia" w:hAnsiTheme="majorEastAsia" w:eastAsiaTheme="majorEastAsia"/>
          <w:sz w:val="24"/>
          <w:szCs w:val="24"/>
        </w:rPr>
        <w:t>检查室内、外地台是否有沉降裂缝，室外墙脚是否与地台有分离裂缝，裂缝宽度、长度。</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⑵、</w:t>
      </w:r>
      <w:r>
        <w:rPr>
          <w:rFonts w:hint="eastAsia" w:asciiTheme="majorEastAsia" w:hAnsiTheme="majorEastAsia" w:eastAsiaTheme="majorEastAsia"/>
          <w:sz w:val="24"/>
          <w:szCs w:val="24"/>
        </w:rPr>
        <w:t>检查建筑物上部结构（包括承重结构、围护结构和连系结构）所采用的结构形式及其所用材料。</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⑶、</w:t>
      </w:r>
      <w:r>
        <w:rPr>
          <w:rFonts w:hint="eastAsia" w:asciiTheme="majorEastAsia" w:hAnsiTheme="majorEastAsia" w:eastAsiaTheme="majorEastAsia"/>
          <w:sz w:val="24"/>
          <w:szCs w:val="24"/>
        </w:rPr>
        <w:t>检查构件及其连接工作情况，以及构件变形和裂缝分布情况。</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①、</w:t>
      </w:r>
      <w:r>
        <w:rPr>
          <w:rFonts w:hint="eastAsia" w:asciiTheme="majorEastAsia" w:hAnsiTheme="majorEastAsia" w:eastAsiaTheme="majorEastAsia"/>
          <w:sz w:val="24"/>
          <w:szCs w:val="24"/>
        </w:rPr>
        <w:t>混凝土构件外观完损状态记录：保护层脱落、裂缝、露筋、移位、蜂窝、麻面、空洞、掉角、水渍、变色等。</w:t>
      </w:r>
    </w:p>
    <w:p>
      <w:pPr>
        <w:spacing w:line="500" w:lineRule="exact"/>
        <w:ind w:firstLine="570"/>
        <w:rPr>
          <w:rFonts w:asciiTheme="majorEastAsia" w:hAnsiTheme="majorEastAsia" w:eastAsiaTheme="majorEastAsia"/>
          <w:sz w:val="24"/>
          <w:szCs w:val="24"/>
        </w:rPr>
      </w:pPr>
      <w:r>
        <w:rPr>
          <w:rFonts w:asciiTheme="majorEastAsia" w:hAnsiTheme="majorEastAsia" w:eastAsiaTheme="majorEastAsia"/>
          <w:sz w:val="24"/>
          <w:szCs w:val="24"/>
        </w:rPr>
        <w:t>②、</w:t>
      </w:r>
      <w:r>
        <w:rPr>
          <w:rFonts w:hint="eastAsia" w:asciiTheme="majorEastAsia" w:hAnsiTheme="majorEastAsia" w:eastAsiaTheme="majorEastAsia"/>
          <w:sz w:val="24"/>
          <w:szCs w:val="24"/>
        </w:rPr>
        <w:t>裂缝记录时要按位置、走向、裂缝形式、宽度、长度的顺序进行记录，用照相机拍摄记录异常现象。</w:t>
      </w:r>
    </w:p>
    <w:p>
      <w:pPr>
        <w:spacing w:line="500" w:lineRule="exact"/>
        <w:ind w:firstLine="570"/>
        <w:rPr>
          <w:rFonts w:asciiTheme="majorEastAsia" w:hAnsiTheme="majorEastAsia" w:eastAsiaTheme="majorEastAsia"/>
          <w:sz w:val="24"/>
          <w:szCs w:val="24"/>
        </w:rPr>
      </w:pPr>
      <w:r>
        <w:rPr>
          <w:rFonts w:asciiTheme="majorEastAsia" w:hAnsiTheme="majorEastAsia" w:eastAsiaTheme="majorEastAsia"/>
          <w:sz w:val="24"/>
          <w:szCs w:val="24"/>
        </w:rPr>
        <w:t>③、</w:t>
      </w:r>
      <w:r>
        <w:rPr>
          <w:rFonts w:hint="eastAsia" w:asciiTheme="majorEastAsia" w:hAnsiTheme="majorEastAsia" w:eastAsiaTheme="majorEastAsia"/>
          <w:sz w:val="24"/>
          <w:szCs w:val="24"/>
        </w:rPr>
        <w:t>检查各构件之间的连接是否有松动、开裂及变形等损坏现象。</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⑷、</w:t>
      </w:r>
      <w:r>
        <w:rPr>
          <w:rFonts w:hint="eastAsia" w:asciiTheme="majorEastAsia" w:hAnsiTheme="majorEastAsia" w:eastAsiaTheme="majorEastAsia"/>
          <w:sz w:val="24"/>
          <w:szCs w:val="24"/>
        </w:rPr>
        <w:t>抽检建筑结构的平面布置、垂直布置及构件截面尺寸，并与原设计图纸（有图纸情况下）进行对比，以实际的情况作为结构复核验算的依据。</w:t>
      </w:r>
    </w:p>
    <w:p>
      <w:pPr>
        <w:spacing w:line="50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2、其他方面的检查：</w:t>
      </w:r>
    </w:p>
    <w:p>
      <w:pPr>
        <w:spacing w:line="500" w:lineRule="exact"/>
        <w:ind w:firstLine="570"/>
        <w:rPr>
          <w:rFonts w:asciiTheme="majorEastAsia" w:hAnsiTheme="majorEastAsia" w:eastAsiaTheme="majorEastAsia"/>
          <w:sz w:val="24"/>
          <w:szCs w:val="24"/>
        </w:rPr>
      </w:pPr>
      <w:r>
        <w:rPr>
          <w:rFonts w:asciiTheme="majorEastAsia" w:hAnsiTheme="majorEastAsia" w:eastAsiaTheme="majorEastAsia"/>
          <w:sz w:val="24"/>
          <w:szCs w:val="24"/>
        </w:rPr>
        <w:t>⑴、、</w:t>
      </w:r>
      <w:r>
        <w:rPr>
          <w:rFonts w:hint="eastAsia" w:asciiTheme="majorEastAsia" w:hAnsiTheme="majorEastAsia" w:eastAsiaTheme="majorEastAsia"/>
          <w:sz w:val="24"/>
          <w:szCs w:val="24"/>
        </w:rPr>
        <w:t>检查房屋的饰面及隔热层损坏情况</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①、</w:t>
      </w:r>
      <w:r>
        <w:rPr>
          <w:rFonts w:hint="eastAsia" w:asciiTheme="majorEastAsia" w:hAnsiTheme="majorEastAsia" w:eastAsiaTheme="majorEastAsia"/>
          <w:sz w:val="24"/>
          <w:szCs w:val="24"/>
        </w:rPr>
        <w:t>检查楼地面的损坏：起砂、剥落、裂缝、沉陷、空鼓。</w:t>
      </w:r>
    </w:p>
    <w:p>
      <w:pPr>
        <w:spacing w:line="500" w:lineRule="exact"/>
        <w:ind w:firstLine="570"/>
        <w:rPr>
          <w:rFonts w:asciiTheme="majorEastAsia" w:hAnsiTheme="majorEastAsia" w:eastAsiaTheme="majorEastAsia"/>
          <w:sz w:val="24"/>
          <w:szCs w:val="24"/>
        </w:rPr>
      </w:pPr>
      <w:r>
        <w:rPr>
          <w:rFonts w:asciiTheme="majorEastAsia" w:hAnsiTheme="majorEastAsia" w:eastAsiaTheme="majorEastAsia"/>
          <w:sz w:val="24"/>
          <w:szCs w:val="24"/>
        </w:rPr>
        <w:t>②、</w:t>
      </w:r>
      <w:r>
        <w:rPr>
          <w:rFonts w:hint="eastAsia" w:asciiTheme="majorEastAsia" w:hAnsiTheme="majorEastAsia" w:eastAsiaTheme="majorEastAsia"/>
          <w:sz w:val="24"/>
          <w:szCs w:val="24"/>
        </w:rPr>
        <w:t>检查装修部分的损坏情况：内外墙抹灰、空鼓、剥落、风化、裂缝、龟裂、墙面渗水。</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⑵、</w:t>
      </w:r>
      <w:r>
        <w:rPr>
          <w:rFonts w:hint="eastAsia" w:asciiTheme="majorEastAsia" w:hAnsiTheme="majorEastAsia" w:eastAsiaTheme="majorEastAsia"/>
          <w:sz w:val="24"/>
          <w:szCs w:val="24"/>
        </w:rPr>
        <w:t>检查房屋水电设备的使用功能：给排水管道堵塞、锈蚀、漏水；电照设备的新旧、完损、电线老化、绝缘。</w:t>
      </w:r>
    </w:p>
    <w:p>
      <w:pPr>
        <w:spacing w:line="50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⑶、</w:t>
      </w:r>
      <w:r>
        <w:rPr>
          <w:rFonts w:hint="eastAsia" w:asciiTheme="majorEastAsia" w:hAnsiTheme="majorEastAsia" w:eastAsiaTheme="majorEastAsia"/>
          <w:sz w:val="24"/>
          <w:szCs w:val="24"/>
        </w:rPr>
        <w:t>检查房屋其他各部分。</w:t>
      </w:r>
    </w:p>
    <w:p>
      <w:pPr>
        <w:spacing w:line="520" w:lineRule="exact"/>
        <w:ind w:firstLine="480" w:firstLineChars="200"/>
        <w:outlineLvl w:val="1"/>
        <w:rPr>
          <w:rFonts w:asciiTheme="majorEastAsia" w:hAnsiTheme="majorEastAsia" w:eastAsiaTheme="majorEastAsia"/>
          <w:sz w:val="24"/>
          <w:szCs w:val="24"/>
        </w:rPr>
      </w:pPr>
      <w:bookmarkStart w:id="3" w:name="_Toc413254216"/>
      <w:bookmarkStart w:id="4" w:name="_Toc413935609"/>
      <w:r>
        <w:rPr>
          <w:rFonts w:hint="eastAsia" w:asciiTheme="majorEastAsia" w:hAnsiTheme="majorEastAsia" w:eastAsiaTheme="majorEastAsia"/>
          <w:sz w:val="24"/>
          <w:szCs w:val="24"/>
        </w:rPr>
        <w:t>㈢</w:t>
      </w:r>
      <w:r>
        <w:rPr>
          <w:rFonts w:asciiTheme="majorEastAsia" w:hAnsiTheme="majorEastAsia" w:eastAsiaTheme="majorEastAsia"/>
          <w:sz w:val="24"/>
          <w:szCs w:val="24"/>
        </w:rPr>
        <w:t>、</w:t>
      </w:r>
      <w:r>
        <w:rPr>
          <w:rFonts w:hint="eastAsia" w:asciiTheme="majorEastAsia" w:hAnsiTheme="majorEastAsia" w:eastAsiaTheme="majorEastAsia"/>
          <w:sz w:val="24"/>
          <w:szCs w:val="24"/>
        </w:rPr>
        <w:t>现场检测</w:t>
      </w:r>
      <w:bookmarkEnd w:id="3"/>
      <w:r>
        <w:rPr>
          <w:rFonts w:hint="eastAsia" w:asciiTheme="majorEastAsia" w:hAnsiTheme="majorEastAsia" w:eastAsiaTheme="majorEastAsia"/>
          <w:sz w:val="24"/>
          <w:szCs w:val="24"/>
        </w:rPr>
        <w:t>鉴定（外业）的主要内容</w:t>
      </w:r>
      <w:bookmarkEnd w:id="4"/>
    </w:p>
    <w:p>
      <w:pPr>
        <w:spacing w:line="520" w:lineRule="exact"/>
        <w:ind w:firstLine="617" w:firstLineChars="257"/>
        <w:rPr>
          <w:rFonts w:asciiTheme="majorEastAsia" w:hAnsiTheme="majorEastAsia" w:eastAsiaTheme="majorEastAsia"/>
          <w:bCs/>
          <w:sz w:val="24"/>
          <w:szCs w:val="24"/>
        </w:rPr>
      </w:pPr>
      <w:r>
        <w:rPr>
          <w:rFonts w:hint="eastAsia" w:asciiTheme="majorEastAsia" w:hAnsiTheme="majorEastAsia" w:eastAsiaTheme="majorEastAsia"/>
          <w:bCs/>
          <w:sz w:val="24"/>
          <w:szCs w:val="24"/>
        </w:rPr>
        <w:t>1、地基基础检测</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鉴于该房屋已建成多年，本次地基基础检测主要以现场查勘及上部结构倾斜观测相结合的方法进行（不进行基础开挖和桩基检测）。现场查勘主要查勘目前基础是否处于正常工作状态，查勘是否存在由于基础不均匀沉降引起的建筑物倾斜、变形等异常情况及地面和结构的相对位移；上部结构倾斜观测以建筑物的外角点和中部位置作倾斜观测点，用全站仪投点法观测目前顶部角点与底部角点的相对偏移量，用以判断基础现有工作是否有异常。</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2、上部结构检测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⑴、构件尺寸检测</w:t>
      </w:r>
    </w:p>
    <w:p>
      <w:pPr>
        <w:spacing w:line="520" w:lineRule="exact"/>
        <w:ind w:firstLine="570"/>
        <w:rPr>
          <w:rFonts w:hint="eastAsia" w:asciiTheme="majorEastAsia" w:hAnsiTheme="majorEastAsia" w:eastAsiaTheme="majorEastAsia"/>
          <w:bCs/>
          <w:sz w:val="24"/>
          <w:szCs w:val="24"/>
        </w:rPr>
      </w:pPr>
      <w:r>
        <w:rPr>
          <w:rFonts w:hint="eastAsia" w:asciiTheme="majorEastAsia" w:hAnsiTheme="majorEastAsia" w:eastAsiaTheme="majorEastAsia"/>
          <w:bCs/>
          <w:sz w:val="24"/>
          <w:szCs w:val="24"/>
        </w:rPr>
        <w:t>根据《建筑结构检测技术标准》（GB/T50344-2004）第3.3.13条的规定，建筑结构检测中，检测批的最小样本容量不宜小于表2的限定值。</w:t>
      </w:r>
    </w:p>
    <w:p>
      <w:pPr>
        <w:spacing w:line="520" w:lineRule="exact"/>
        <w:ind w:firstLine="570"/>
        <w:rPr>
          <w:rFonts w:hint="eastAsia" w:asciiTheme="majorEastAsia" w:hAnsiTheme="majorEastAsia" w:eastAsiaTheme="majorEastAsia"/>
          <w:bCs/>
          <w:sz w:val="28"/>
          <w:szCs w:val="28"/>
        </w:rPr>
      </w:pPr>
    </w:p>
    <w:p>
      <w:pPr>
        <w:snapToGrid w:val="0"/>
        <w:spacing w:line="360" w:lineRule="auto"/>
        <w:ind w:left="57" w:leftChars="27" w:firstLine="480" w:firstLineChars="200"/>
        <w:jc w:val="center"/>
        <w:rPr>
          <w:rFonts w:asciiTheme="majorEastAsia" w:hAnsiTheme="majorEastAsia" w:eastAsiaTheme="majorEastAsia"/>
          <w:bCs/>
          <w:sz w:val="24"/>
          <w:szCs w:val="24"/>
        </w:rPr>
      </w:pPr>
      <w:r>
        <w:rPr>
          <w:rFonts w:hint="eastAsia" w:asciiTheme="majorEastAsia" w:hAnsiTheme="majorEastAsia" w:eastAsiaTheme="majorEastAsia"/>
          <w:bCs/>
          <w:sz w:val="24"/>
          <w:szCs w:val="24"/>
        </w:rPr>
        <w:t>表2 建筑结构抽样检测的最小样本容量</w:t>
      </w:r>
    </w:p>
    <w:tbl>
      <w:tblPr>
        <w:tblStyle w:val="6"/>
        <w:tblW w:w="70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1470"/>
        <w:gridCol w:w="1575"/>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 w:hRule="atLeast"/>
          <w:tblHeader/>
          <w:jc w:val="center"/>
        </w:trPr>
        <w:tc>
          <w:tcPr>
            <w:tcW w:w="2200" w:type="dxa"/>
            <w:vMerge w:val="restart"/>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检测批的容量</w:t>
            </w:r>
          </w:p>
        </w:tc>
        <w:tc>
          <w:tcPr>
            <w:tcW w:w="4830" w:type="dxa"/>
            <w:gridSpan w:val="3"/>
            <w:vAlign w:val="bottom"/>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检测类别和样本最小容量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blHeader/>
          <w:jc w:val="center"/>
        </w:trPr>
        <w:tc>
          <w:tcPr>
            <w:tcW w:w="2200" w:type="dxa"/>
            <w:vMerge w:val="continue"/>
          </w:tcPr>
          <w:p>
            <w:pPr>
              <w:snapToGrid w:val="0"/>
              <w:spacing w:line="300" w:lineRule="auto"/>
              <w:rPr>
                <w:rFonts w:asciiTheme="majorEastAsia" w:hAnsiTheme="majorEastAsia" w:eastAsiaTheme="majorEastAsia"/>
                <w:sz w:val="24"/>
                <w:szCs w:val="24"/>
              </w:rPr>
            </w:pPr>
          </w:p>
        </w:tc>
        <w:tc>
          <w:tcPr>
            <w:tcW w:w="1470" w:type="dxa"/>
            <w:vAlign w:val="bottom"/>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A</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B</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2-8</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9-15</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16-25</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26-50</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51-90</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13</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91-150</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20</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151-280</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13</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32</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281-500</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20</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50</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220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501-1200</w:t>
            </w:r>
          </w:p>
        </w:tc>
        <w:tc>
          <w:tcPr>
            <w:tcW w:w="1470"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32</w:t>
            </w:r>
          </w:p>
        </w:tc>
        <w:tc>
          <w:tcPr>
            <w:tcW w:w="157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80</w:t>
            </w:r>
          </w:p>
        </w:tc>
        <w:tc>
          <w:tcPr>
            <w:tcW w:w="1785" w:type="dxa"/>
            <w:vAlign w:val="center"/>
          </w:tcPr>
          <w:p>
            <w:pPr>
              <w:snapToGrid w:val="0"/>
              <w:spacing w:line="300" w:lineRule="auto"/>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7030" w:type="dxa"/>
            <w:gridSpan w:val="4"/>
          </w:tcPr>
          <w:p>
            <w:pPr>
              <w:snapToGrid w:val="0"/>
              <w:spacing w:line="30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注：检测类别A适用于一般施工质量的检测，检测类别B使用于结构质量或性能的检测，检测类别C使用于结构质量或性能的严格检测或复检。根据该工程特点，本次检测类别为B类。</w:t>
            </w:r>
          </w:p>
        </w:tc>
      </w:tr>
    </w:tbl>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采用钢卷尺和游标卡尺检测建筑物构件的截面尺寸，抽检数量依据《建筑结构检测技术标准》第3.3.13条的规定（检测类别B）确定，</w:t>
      </w:r>
      <w:r>
        <w:rPr>
          <w:rFonts w:asciiTheme="majorEastAsia" w:hAnsiTheme="majorEastAsia" w:eastAsiaTheme="majorEastAsia"/>
          <w:bCs/>
          <w:sz w:val="24"/>
          <w:szCs w:val="24"/>
        </w:rPr>
        <w:t>检测的构件位置须分布均匀，随机选取不同的部位进行检测。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⑵、混凝土强度检测</w:t>
      </w:r>
    </w:p>
    <w:p>
      <w:pPr>
        <w:spacing w:line="520" w:lineRule="exact"/>
        <w:ind w:firstLine="570"/>
        <w:rPr>
          <w:rFonts w:asciiTheme="majorEastAsia" w:hAnsiTheme="majorEastAsia" w:eastAsiaTheme="majorEastAsia"/>
          <w:bCs/>
          <w:sz w:val="24"/>
          <w:szCs w:val="24"/>
        </w:rPr>
      </w:pPr>
      <w:r>
        <w:rPr>
          <w:rFonts w:asciiTheme="majorEastAsia" w:hAnsiTheme="majorEastAsia" w:eastAsiaTheme="majorEastAsia"/>
          <w:bCs/>
          <w:sz w:val="24"/>
          <w:szCs w:val="24"/>
        </w:rPr>
        <w:t>主体结构柱、梁、板的混凝土</w:t>
      </w:r>
      <w:r>
        <w:rPr>
          <w:rFonts w:hint="eastAsia" w:asciiTheme="majorEastAsia" w:hAnsiTheme="majorEastAsia" w:eastAsiaTheme="majorEastAsia"/>
          <w:bCs/>
          <w:sz w:val="24"/>
          <w:szCs w:val="24"/>
        </w:rPr>
        <w:t>强度</w:t>
      </w:r>
      <w:r>
        <w:rPr>
          <w:rFonts w:asciiTheme="majorEastAsia" w:hAnsiTheme="majorEastAsia" w:eastAsiaTheme="majorEastAsia"/>
          <w:bCs/>
          <w:sz w:val="24"/>
          <w:szCs w:val="24"/>
        </w:rPr>
        <w:t>采取钻芯法检测。</w:t>
      </w:r>
      <w:r>
        <w:rPr>
          <w:rFonts w:hint="eastAsia" w:asciiTheme="majorEastAsia" w:hAnsiTheme="majorEastAsia" w:eastAsiaTheme="majorEastAsia"/>
          <w:bCs/>
          <w:sz w:val="24"/>
          <w:szCs w:val="24"/>
        </w:rPr>
        <w:t>抽检数量依据</w:t>
      </w:r>
      <w:r>
        <w:rPr>
          <w:rFonts w:asciiTheme="majorEastAsia" w:hAnsiTheme="majorEastAsia" w:eastAsiaTheme="majorEastAsia"/>
          <w:bCs/>
          <w:sz w:val="24"/>
          <w:szCs w:val="24"/>
        </w:rPr>
        <w:t>《钻芯法检测混凝土强度技术规程》（CECS03:2007）</w:t>
      </w:r>
      <w:r>
        <w:rPr>
          <w:rFonts w:hint="eastAsia" w:asciiTheme="majorEastAsia" w:hAnsiTheme="majorEastAsia" w:eastAsiaTheme="majorEastAsia"/>
          <w:bCs/>
          <w:sz w:val="24"/>
          <w:szCs w:val="24"/>
        </w:rPr>
        <w:t>第3.2.1条的规定，且参考</w:t>
      </w:r>
      <w:r>
        <w:rPr>
          <w:rFonts w:asciiTheme="majorEastAsia" w:hAnsiTheme="majorEastAsia" w:eastAsiaTheme="majorEastAsia"/>
          <w:bCs/>
          <w:sz w:val="24"/>
          <w:szCs w:val="24"/>
        </w:rPr>
        <w:t>《建筑结构检测技术标准》（GB/T50344- 2004）第3.3.13条</w:t>
      </w:r>
      <w:r>
        <w:rPr>
          <w:rFonts w:hint="eastAsia" w:asciiTheme="majorEastAsia" w:hAnsiTheme="majorEastAsia" w:eastAsiaTheme="majorEastAsia"/>
          <w:bCs/>
          <w:sz w:val="24"/>
          <w:szCs w:val="24"/>
        </w:rPr>
        <w:t>关于检测类别B类的</w:t>
      </w:r>
      <w:r>
        <w:rPr>
          <w:rFonts w:asciiTheme="majorEastAsia" w:hAnsiTheme="majorEastAsia" w:eastAsiaTheme="majorEastAsia"/>
          <w:bCs/>
          <w:sz w:val="24"/>
          <w:szCs w:val="24"/>
        </w:rPr>
        <w:t>样本最小容量取值</w:t>
      </w:r>
      <w:r>
        <w:rPr>
          <w:rFonts w:hint="eastAsia" w:asciiTheme="majorEastAsia" w:hAnsiTheme="majorEastAsia" w:eastAsiaTheme="majorEastAsia"/>
          <w:bCs/>
          <w:sz w:val="24"/>
          <w:szCs w:val="24"/>
        </w:rPr>
        <w:t>确定，</w:t>
      </w:r>
      <w:r>
        <w:rPr>
          <w:rFonts w:asciiTheme="majorEastAsia" w:hAnsiTheme="majorEastAsia" w:eastAsiaTheme="majorEastAsia"/>
          <w:bCs/>
          <w:sz w:val="24"/>
          <w:szCs w:val="24"/>
        </w:rPr>
        <w:t>检测的构件位置须分布均匀，随机选取不同的部位进行检测。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⑶、钢筋配置和保护层厚度检测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钢筋配置和保护层厚度检测数量依据《建筑结构检测技术标准》（GB/T50344- 2004）第3.3.13条确定，且参考检测类别B规定的样本最小容量取值。随机选取检测构件，原则是检测的构件位置分布均匀，每一层可随机选取不同的梁、柱、板构件进行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钢筋配置和保护层厚度检测采用钢筋探测仪进行探测，并结合局部破损对钢筋配置进行验证，根据探测结果对钢筋保护层厚度进行分析，同时对构件钢筋直径进行检测。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⑷、混凝土碳化深度检测</w:t>
      </w:r>
    </w:p>
    <w:p>
      <w:pPr>
        <w:spacing w:line="520" w:lineRule="exact"/>
        <w:ind w:firstLine="570"/>
        <w:rPr>
          <w:rFonts w:asciiTheme="majorEastAsia" w:hAnsiTheme="majorEastAsia" w:eastAsiaTheme="majorEastAsia"/>
          <w:bCs/>
          <w:sz w:val="24"/>
          <w:szCs w:val="24"/>
        </w:rPr>
      </w:pPr>
      <w:r>
        <w:rPr>
          <w:rFonts w:hint="eastAsia" w:asciiTheme="majorEastAsia" w:hAnsiTheme="majorEastAsia" w:eastAsiaTheme="majorEastAsia"/>
          <w:bCs/>
          <w:sz w:val="24"/>
          <w:szCs w:val="24"/>
        </w:rPr>
        <w:t>参照《建筑结构检测技术标准》（GB/T 50344-2004）的有关规定，采用浓度为1%～2%的酚酞酒精溶液对采用钻芯法检测的混凝土构件进行混凝土碳化深度抽样检测。</w:t>
      </w:r>
    </w:p>
    <w:p>
      <w:pPr>
        <w:spacing w:line="498" w:lineRule="exact"/>
        <w:ind w:firstLine="403" w:firstLineChars="168"/>
        <w:outlineLvl w:val="1"/>
        <w:rPr>
          <w:rFonts w:asciiTheme="majorEastAsia" w:hAnsiTheme="majorEastAsia" w:eastAsiaTheme="majorEastAsia"/>
          <w:sz w:val="24"/>
          <w:szCs w:val="24"/>
        </w:rPr>
      </w:pPr>
      <w:bookmarkStart w:id="5" w:name="_Toc413935610"/>
      <w:r>
        <w:rPr>
          <w:rFonts w:hint="eastAsia" w:asciiTheme="majorEastAsia" w:hAnsiTheme="majorEastAsia" w:eastAsiaTheme="majorEastAsia"/>
          <w:sz w:val="24"/>
          <w:szCs w:val="24"/>
        </w:rPr>
        <w:t>㈣</w:t>
      </w:r>
      <w:r>
        <w:rPr>
          <w:rFonts w:asciiTheme="majorEastAsia" w:hAnsiTheme="majorEastAsia" w:eastAsiaTheme="majorEastAsia"/>
          <w:sz w:val="24"/>
          <w:szCs w:val="24"/>
        </w:rPr>
        <w:t>、</w:t>
      </w:r>
      <w:r>
        <w:rPr>
          <w:rFonts w:hint="eastAsia" w:asciiTheme="majorEastAsia" w:hAnsiTheme="majorEastAsia" w:eastAsiaTheme="majorEastAsia"/>
          <w:sz w:val="24"/>
          <w:szCs w:val="24"/>
        </w:rPr>
        <w:t>检测鉴定（内业）的主要内容</w:t>
      </w:r>
      <w:bookmarkEnd w:id="5"/>
    </w:p>
    <w:p>
      <w:pPr>
        <w:spacing w:line="498" w:lineRule="exact"/>
        <w:ind w:firstLine="461" w:firstLineChars="192"/>
        <w:rPr>
          <w:rFonts w:asciiTheme="majorEastAsia" w:hAnsiTheme="majorEastAsia" w:eastAsiaTheme="majorEastAsia"/>
          <w:sz w:val="24"/>
          <w:szCs w:val="24"/>
        </w:rPr>
      </w:pPr>
      <w:bookmarkStart w:id="6" w:name="_Toc413254218"/>
      <w:r>
        <w:rPr>
          <w:rFonts w:hint="eastAsia" w:asciiTheme="majorEastAsia" w:hAnsiTheme="majorEastAsia" w:eastAsiaTheme="majorEastAsia"/>
          <w:sz w:val="24"/>
          <w:szCs w:val="24"/>
        </w:rPr>
        <w:t>1</w:t>
      </w:r>
      <w:r>
        <w:rPr>
          <w:rFonts w:asciiTheme="majorEastAsia" w:hAnsiTheme="majorEastAsia" w:eastAsiaTheme="majorEastAsia"/>
          <w:sz w:val="24"/>
          <w:szCs w:val="24"/>
        </w:rPr>
        <w:t>、</w:t>
      </w:r>
      <w:r>
        <w:rPr>
          <w:rFonts w:hint="eastAsia" w:asciiTheme="majorEastAsia" w:hAnsiTheme="majorEastAsia" w:eastAsiaTheme="majorEastAsia"/>
          <w:sz w:val="24"/>
          <w:szCs w:val="24"/>
        </w:rPr>
        <w:t>结构复核验算</w:t>
      </w:r>
      <w:bookmarkEnd w:id="6"/>
    </w:p>
    <w:p>
      <w:pPr>
        <w:spacing w:line="498" w:lineRule="exact"/>
        <w:ind w:firstLine="461" w:firstLineChars="192"/>
        <w:rPr>
          <w:rFonts w:asciiTheme="majorEastAsia" w:hAnsiTheme="majorEastAsia" w:eastAsiaTheme="majorEastAsia"/>
          <w:sz w:val="24"/>
          <w:szCs w:val="24"/>
        </w:rPr>
      </w:pPr>
      <w:r>
        <w:rPr>
          <w:rFonts w:hint="eastAsia" w:asciiTheme="majorEastAsia" w:hAnsiTheme="majorEastAsia" w:eastAsiaTheme="majorEastAsia"/>
          <w:sz w:val="24"/>
          <w:szCs w:val="24"/>
        </w:rPr>
        <w:t>综合上述检查、检测、试验结果，结合其他方面的相关资料按现行规范进行结构复核计算，确定房屋结构的承载力和安全可靠性，计算采用《PKPM》计算软件对房屋进行验算。</w:t>
      </w:r>
    </w:p>
    <w:p>
      <w:pPr>
        <w:spacing w:line="498" w:lineRule="exact"/>
        <w:ind w:firstLine="461" w:firstLineChars="192"/>
        <w:rPr>
          <w:rFonts w:asciiTheme="majorEastAsia" w:hAnsiTheme="majorEastAsia" w:eastAsiaTheme="majorEastAsia"/>
          <w:sz w:val="24"/>
          <w:szCs w:val="24"/>
        </w:rPr>
      </w:pPr>
      <w:bookmarkStart w:id="7" w:name="_Toc413254219"/>
      <w:r>
        <w:rPr>
          <w:rFonts w:hint="eastAsia" w:asciiTheme="majorEastAsia" w:hAnsiTheme="majorEastAsia" w:eastAsiaTheme="majorEastAsia"/>
          <w:sz w:val="24"/>
          <w:szCs w:val="24"/>
        </w:rPr>
        <w:t>2、报告编写</w:t>
      </w:r>
      <w:bookmarkEnd w:id="7"/>
    </w:p>
    <w:p>
      <w:pPr>
        <w:spacing w:line="52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bCs/>
          <w:sz w:val="24"/>
          <w:szCs w:val="24"/>
        </w:rPr>
        <w:t>对工程质量和安全性进行综合分析评定，</w:t>
      </w:r>
      <w:r>
        <w:rPr>
          <w:rFonts w:hint="eastAsia" w:asciiTheme="majorEastAsia" w:hAnsiTheme="majorEastAsia" w:eastAsiaTheme="majorEastAsia"/>
          <w:sz w:val="24"/>
          <w:szCs w:val="24"/>
        </w:rPr>
        <w:t>对存在的质量问题提出处理意见，编写房屋结构检测鉴定报告。</w:t>
      </w:r>
    </w:p>
    <w:p>
      <w:pPr>
        <w:spacing w:line="520" w:lineRule="exact"/>
        <w:ind w:firstLine="482" w:firstLineChars="200"/>
        <w:rPr>
          <w:rFonts w:asciiTheme="majorEastAsia" w:hAnsiTheme="majorEastAsia" w:eastAsiaTheme="majorEastAsia"/>
          <w:b/>
          <w:sz w:val="24"/>
          <w:szCs w:val="24"/>
        </w:rPr>
      </w:pPr>
      <w:r>
        <w:rPr>
          <w:rFonts w:hint="eastAsia" w:asciiTheme="majorEastAsia" w:hAnsiTheme="majorEastAsia" w:eastAsiaTheme="majorEastAsia"/>
          <w:b/>
          <w:sz w:val="24"/>
          <w:szCs w:val="24"/>
        </w:rPr>
        <w:t>3、</w:t>
      </w:r>
      <w:r>
        <w:rPr>
          <w:rFonts w:asciiTheme="majorEastAsia" w:hAnsiTheme="majorEastAsia" w:eastAsiaTheme="majorEastAsia"/>
          <w:b/>
          <w:sz w:val="24"/>
          <w:szCs w:val="24"/>
        </w:rPr>
        <w:t>工期</w:t>
      </w:r>
    </w:p>
    <w:p>
      <w:pPr>
        <w:spacing w:line="520" w:lineRule="exact"/>
        <w:ind w:firstLine="482" w:firstLineChars="200"/>
        <w:rPr>
          <w:rFonts w:asciiTheme="majorEastAsia" w:hAnsiTheme="majorEastAsia" w:eastAsiaTheme="majorEastAsia"/>
          <w:b/>
          <w:bCs/>
          <w:sz w:val="24"/>
          <w:szCs w:val="24"/>
        </w:rPr>
      </w:pPr>
      <w:r>
        <w:rPr>
          <w:rFonts w:hint="eastAsia" w:asciiTheme="majorEastAsia" w:hAnsiTheme="majorEastAsia" w:eastAsiaTheme="majorEastAsia"/>
          <w:b/>
          <w:sz w:val="24"/>
          <w:szCs w:val="24"/>
        </w:rPr>
        <w:t>15个</w:t>
      </w:r>
      <w:r>
        <w:rPr>
          <w:rFonts w:asciiTheme="majorEastAsia" w:hAnsiTheme="majorEastAsia" w:eastAsiaTheme="majorEastAsia"/>
          <w:b/>
          <w:sz w:val="24"/>
          <w:szCs w:val="24"/>
        </w:rPr>
        <w:t>日历天</w:t>
      </w:r>
    </w:p>
    <w:p>
      <w:pPr>
        <w:widowControl/>
        <w:spacing w:line="4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六、报价评审</w:t>
      </w:r>
    </w:p>
    <w:p>
      <w:pPr>
        <w:widowControl/>
        <w:spacing w:line="4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    本项目评审采取二阶段进行评审。第一阶段为符合性评审，在拆封报价函前，询价小组对各投标单位材料进行综合评审，评出符合用户需求的若干家供应商进入第二阶段评审。第二阶段为价格评审，对进入第二阶段评审的供应商的报价函进行拆封，然后按“价低者得”确定成交供应商。</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七</w:t>
      </w:r>
      <w:r>
        <w:rPr>
          <w:rFonts w:cs="宋体" w:asciiTheme="minorEastAsia" w:hAnsiTheme="minorEastAsia"/>
          <w:kern w:val="0"/>
          <w:sz w:val="24"/>
          <w:szCs w:val="24"/>
        </w:rPr>
        <w:t>、</w:t>
      </w:r>
      <w:r>
        <w:rPr>
          <w:rFonts w:hint="eastAsia" w:cs="宋体" w:asciiTheme="minorEastAsia" w:hAnsiTheme="minorEastAsia"/>
          <w:kern w:val="0"/>
          <w:sz w:val="24"/>
          <w:szCs w:val="24"/>
        </w:rPr>
        <w:t>报名时间及</w:t>
      </w:r>
      <w:r>
        <w:rPr>
          <w:rFonts w:cs="宋体" w:asciiTheme="minorEastAsia" w:hAnsiTheme="minorEastAsia"/>
          <w:kern w:val="0"/>
          <w:sz w:val="24"/>
          <w:szCs w:val="24"/>
        </w:rPr>
        <w:t>获取询价文件方式</w:t>
      </w:r>
    </w:p>
    <w:p>
      <w:pPr>
        <w:spacing w:line="360" w:lineRule="auto"/>
        <w:ind w:firstLine="480" w:firstLineChars="20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符合资格条件的企业请在2018年6月</w:t>
      </w:r>
      <w:r>
        <w:rPr>
          <w:rFonts w:ascii="宋体" w:hAnsi="宋体" w:cs="宋体"/>
          <w:sz w:val="24"/>
          <w:szCs w:val="24"/>
        </w:rPr>
        <w:t>20</w:t>
      </w:r>
      <w:r>
        <w:rPr>
          <w:rFonts w:hint="eastAsia" w:ascii="宋体" w:hAnsi="宋体" w:cs="宋体"/>
          <w:sz w:val="24"/>
          <w:szCs w:val="24"/>
        </w:rPr>
        <w:t>日（星期三）上午09:00-16:00时间内到广州市番禺区小谷围岛外环西路100号广东工业大学大学城生活区东十栋</w:t>
      </w:r>
      <w:r>
        <w:rPr>
          <w:rFonts w:ascii="宋体" w:hAnsi="宋体" w:cs="宋体"/>
          <w:sz w:val="24"/>
          <w:szCs w:val="24"/>
        </w:rPr>
        <w:t>503</w:t>
      </w:r>
      <w:r>
        <w:rPr>
          <w:rFonts w:hint="eastAsia" w:ascii="宋体" w:hAnsi="宋体" w:cs="宋体"/>
          <w:sz w:val="24"/>
          <w:szCs w:val="24"/>
        </w:rPr>
        <w:t>室（</w:t>
      </w:r>
      <w:r>
        <w:rPr>
          <w:rFonts w:ascii="宋体" w:hAnsi="宋体" w:cs="宋体"/>
          <w:sz w:val="24"/>
          <w:szCs w:val="24"/>
        </w:rPr>
        <w:t>广东工业大学后勤</w:t>
      </w:r>
      <w:r>
        <w:rPr>
          <w:rFonts w:hint="eastAsia" w:ascii="宋体" w:hAnsi="宋体" w:cs="宋体"/>
          <w:sz w:val="24"/>
          <w:szCs w:val="24"/>
        </w:rPr>
        <w:t>管理处采购管理科）凭相应的资格材料登记并获取询价文件。</w:t>
      </w:r>
    </w:p>
    <w:p>
      <w:pPr>
        <w:widowControl/>
        <w:spacing w:line="460" w:lineRule="exact"/>
        <w:ind w:firstLine="598" w:firstLineChars="249"/>
        <w:jc w:val="left"/>
        <w:rPr>
          <w:rFonts w:cs="Times New Roman" w:asciiTheme="minorEastAsia" w:hAnsiTheme="minorEastAsia"/>
          <w:caps/>
          <w:color w:val="000000"/>
          <w:kern w:val="0"/>
          <w:sz w:val="24"/>
          <w:szCs w:val="24"/>
        </w:rPr>
      </w:pPr>
      <w:r>
        <w:rPr>
          <w:rFonts w:hint="eastAsia" w:hAnsi="宋体"/>
          <w:sz w:val="24"/>
          <w:szCs w:val="24"/>
        </w:rPr>
        <w:t>2</w:t>
      </w:r>
      <w:r>
        <w:rPr>
          <w:rFonts w:hAnsi="宋体"/>
          <w:sz w:val="24"/>
          <w:szCs w:val="24"/>
        </w:rPr>
        <w:t>.</w:t>
      </w:r>
      <w:r>
        <w:rPr>
          <w:rFonts w:cs="宋体" w:asciiTheme="minorEastAsia" w:hAnsiTheme="minorEastAsia"/>
          <w:kern w:val="0"/>
          <w:sz w:val="24"/>
          <w:szCs w:val="24"/>
        </w:rPr>
        <w:t>报价单位请</w:t>
      </w:r>
      <w:r>
        <w:rPr>
          <w:rFonts w:hint="eastAsia" w:cs="宋体" w:asciiTheme="minorEastAsia" w:hAnsiTheme="minorEastAsia"/>
          <w:kern w:val="0"/>
          <w:sz w:val="24"/>
          <w:szCs w:val="24"/>
        </w:rPr>
        <w:t>到大学城</w:t>
      </w:r>
      <w:r>
        <w:rPr>
          <w:rFonts w:cs="宋体" w:asciiTheme="minorEastAsia" w:hAnsiTheme="minorEastAsia"/>
          <w:kern w:val="0"/>
          <w:sz w:val="24"/>
          <w:szCs w:val="24"/>
        </w:rPr>
        <w:t>后勤</w:t>
      </w:r>
      <w:r>
        <w:rPr>
          <w:rFonts w:hint="eastAsia" w:cs="宋体" w:asciiTheme="minorEastAsia" w:hAnsiTheme="minorEastAsia"/>
          <w:kern w:val="0"/>
          <w:sz w:val="24"/>
          <w:szCs w:val="24"/>
        </w:rPr>
        <w:t>管理处</w:t>
      </w:r>
      <w:r>
        <w:rPr>
          <w:rFonts w:cs="宋体" w:asciiTheme="minorEastAsia" w:hAnsiTheme="minorEastAsia"/>
          <w:kern w:val="0"/>
          <w:sz w:val="24"/>
          <w:szCs w:val="24"/>
        </w:rPr>
        <w:t>提交材料：</w:t>
      </w:r>
      <w:r>
        <w:rPr>
          <w:rFonts w:hint="eastAsia" w:cs="Times New Roman" w:asciiTheme="minorEastAsia" w:hAnsiTheme="minorEastAsia"/>
          <w:caps/>
          <w:color w:val="000000"/>
          <w:kern w:val="0"/>
          <w:sz w:val="24"/>
          <w:szCs w:val="24"/>
        </w:rPr>
        <w:t xml:space="preserve"> </w:t>
      </w:r>
    </w:p>
    <w:p>
      <w:pPr>
        <w:widowControl/>
        <w:spacing w:line="460" w:lineRule="exact"/>
        <w:ind w:firstLine="598" w:firstLineChars="249"/>
        <w:jc w:val="left"/>
        <w:rPr>
          <w:rFonts w:cs="宋体" w:asciiTheme="minorEastAsia" w:hAnsiTheme="minorEastAsia"/>
          <w:caps/>
          <w:color w:val="000000"/>
          <w:kern w:val="0"/>
          <w:sz w:val="24"/>
          <w:szCs w:val="24"/>
        </w:rPr>
      </w:pPr>
      <w:r>
        <w:rPr>
          <w:rFonts w:hint="eastAsia" w:cs="Times New Roman" w:asciiTheme="minorEastAsia" w:hAnsiTheme="minorEastAsia"/>
          <w:caps/>
          <w:color w:val="000000"/>
          <w:kern w:val="0"/>
          <w:sz w:val="24"/>
          <w:szCs w:val="24"/>
        </w:rPr>
        <w:t>（1）</w:t>
      </w:r>
      <w:r>
        <w:rPr>
          <w:rFonts w:hint="eastAsia" w:cs="宋体" w:asciiTheme="minorEastAsia" w:hAnsiTheme="minorEastAsia"/>
          <w:caps/>
          <w:color w:val="000000"/>
          <w:kern w:val="0"/>
          <w:sz w:val="24"/>
          <w:szCs w:val="24"/>
        </w:rPr>
        <w:t>企业法人营业执照（复印件盖公章）；</w:t>
      </w:r>
    </w:p>
    <w:p>
      <w:pPr>
        <w:widowControl/>
        <w:spacing w:line="460" w:lineRule="exact"/>
        <w:ind w:firstLine="598" w:firstLineChars="249"/>
        <w:jc w:val="left"/>
        <w:rPr>
          <w:rFonts w:cs="宋体" w:asciiTheme="minorEastAsia" w:hAnsiTheme="minorEastAsia"/>
          <w:kern w:val="0"/>
          <w:sz w:val="24"/>
          <w:szCs w:val="24"/>
        </w:rPr>
      </w:pPr>
      <w:r>
        <w:rPr>
          <w:rFonts w:hint="eastAsia" w:cs="宋体" w:asciiTheme="minorEastAsia" w:hAnsiTheme="minorEastAsia"/>
          <w:caps/>
          <w:color w:val="000000"/>
          <w:kern w:val="0"/>
          <w:sz w:val="24"/>
          <w:szCs w:val="24"/>
        </w:rPr>
        <w:t>（2）房屋安全</w:t>
      </w:r>
      <w:r>
        <w:rPr>
          <w:rFonts w:cs="宋体" w:asciiTheme="minorEastAsia" w:hAnsiTheme="minorEastAsia"/>
          <w:caps/>
          <w:color w:val="000000"/>
          <w:kern w:val="0"/>
          <w:sz w:val="24"/>
          <w:szCs w:val="24"/>
        </w:rPr>
        <w:t>鉴定单位备案证书</w:t>
      </w:r>
      <w:r>
        <w:rPr>
          <w:rFonts w:hint="eastAsia" w:cs="宋体" w:asciiTheme="minorEastAsia" w:hAnsiTheme="minorEastAsia"/>
          <w:caps/>
          <w:color w:val="000000"/>
          <w:kern w:val="0"/>
          <w:sz w:val="24"/>
          <w:szCs w:val="24"/>
        </w:rPr>
        <w:t>（复印件盖公章）；</w:t>
      </w:r>
    </w:p>
    <w:p>
      <w:pPr>
        <w:widowControl/>
        <w:spacing w:line="460" w:lineRule="exact"/>
        <w:ind w:firstLine="478" w:firstLineChars="199"/>
        <w:jc w:val="left"/>
        <w:rPr>
          <w:rFonts w:cs="宋体" w:asciiTheme="minorEastAsia" w:hAnsiTheme="minorEastAsia"/>
          <w:kern w:val="0"/>
          <w:sz w:val="24"/>
          <w:szCs w:val="24"/>
        </w:rPr>
      </w:pPr>
      <w:r>
        <w:rPr>
          <w:rFonts w:hint="eastAsia" w:cs="宋体" w:asciiTheme="minorEastAsia" w:hAnsiTheme="minorEastAsia"/>
          <w:kern w:val="0"/>
          <w:sz w:val="24"/>
          <w:szCs w:val="24"/>
        </w:rPr>
        <w:t>八</w:t>
      </w:r>
      <w:r>
        <w:rPr>
          <w:rFonts w:cs="宋体" w:asciiTheme="minorEastAsia" w:hAnsiTheme="minorEastAsia"/>
          <w:kern w:val="0"/>
          <w:sz w:val="24"/>
          <w:szCs w:val="24"/>
        </w:rPr>
        <w:t>、报价：报价单位根据询价文件要求结合现场勘查情况报价，项目报价超过预算价为无效报价，《报价文件》</w:t>
      </w:r>
      <w:r>
        <w:rPr>
          <w:rFonts w:hint="eastAsia" w:cs="宋体" w:asciiTheme="minorEastAsia" w:hAnsiTheme="minorEastAsia"/>
          <w:kern w:val="0"/>
          <w:sz w:val="24"/>
          <w:szCs w:val="24"/>
        </w:rPr>
        <w:t>含《符合性报价文件》和《报价书》应分开</w:t>
      </w:r>
      <w:r>
        <w:rPr>
          <w:rFonts w:cs="宋体" w:asciiTheme="minorEastAsia" w:hAnsiTheme="minorEastAsia"/>
          <w:kern w:val="0"/>
          <w:sz w:val="24"/>
          <w:szCs w:val="24"/>
        </w:rPr>
        <w:t>密封，封口处加盖公章。</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1.《符合性报价文件》一式一份，包括不限于：</w:t>
      </w:r>
    </w:p>
    <w:p>
      <w:pPr>
        <w:widowControl/>
        <w:spacing w:line="460" w:lineRule="exact"/>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（1）《营业执照》（复印件加盖公章）1份；</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caps/>
          <w:color w:val="000000"/>
          <w:kern w:val="0"/>
          <w:sz w:val="24"/>
          <w:szCs w:val="24"/>
        </w:rPr>
        <w:t>（2）房屋安全</w:t>
      </w:r>
      <w:r>
        <w:rPr>
          <w:rFonts w:cs="宋体" w:asciiTheme="minorEastAsia" w:hAnsiTheme="minorEastAsia"/>
          <w:caps/>
          <w:color w:val="000000"/>
          <w:kern w:val="0"/>
          <w:sz w:val="24"/>
          <w:szCs w:val="24"/>
        </w:rPr>
        <w:t>鉴定单位备案证书</w:t>
      </w:r>
      <w:r>
        <w:rPr>
          <w:rFonts w:hint="eastAsia" w:cs="宋体" w:asciiTheme="minorEastAsia" w:hAnsiTheme="minorEastAsia"/>
          <w:caps/>
          <w:color w:val="000000"/>
          <w:kern w:val="0"/>
          <w:sz w:val="24"/>
          <w:szCs w:val="24"/>
        </w:rPr>
        <w:t>（复印件盖公章）</w:t>
      </w:r>
      <w:r>
        <w:rPr>
          <w:rFonts w:cs="宋体" w:asciiTheme="minorEastAsia" w:hAnsiTheme="minorEastAsia"/>
          <w:kern w:val="0"/>
          <w:sz w:val="24"/>
          <w:szCs w:val="24"/>
        </w:rPr>
        <w:t>；</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 2.《报价书》一式一份，</w:t>
      </w:r>
      <w:r>
        <w:rPr>
          <w:rFonts w:cs="宋体" w:asciiTheme="minorEastAsia" w:hAnsiTheme="minorEastAsia"/>
          <w:kern w:val="0"/>
          <w:sz w:val="24"/>
          <w:szCs w:val="24"/>
        </w:rPr>
        <w:t xml:space="preserve"> </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《报价文件》</w:t>
      </w:r>
      <w:r>
        <w:rPr>
          <w:rFonts w:cs="宋体" w:asciiTheme="minorEastAsia" w:hAnsiTheme="minorEastAsia"/>
          <w:kern w:val="0"/>
          <w:sz w:val="24"/>
          <w:szCs w:val="24"/>
        </w:rPr>
        <w:t>请于201</w:t>
      </w:r>
      <w:r>
        <w:rPr>
          <w:rFonts w:hint="eastAsia" w:cs="宋体" w:asciiTheme="minorEastAsia" w:hAnsiTheme="minorEastAsia"/>
          <w:kern w:val="0"/>
          <w:sz w:val="24"/>
          <w:szCs w:val="24"/>
        </w:rPr>
        <w:t>8</w:t>
      </w:r>
      <w:r>
        <w:rPr>
          <w:rFonts w:cs="宋体" w:asciiTheme="minorEastAsia" w:hAnsiTheme="minorEastAsia"/>
          <w:kern w:val="0"/>
          <w:sz w:val="24"/>
          <w:szCs w:val="24"/>
        </w:rPr>
        <w:t>年</w:t>
      </w:r>
      <w:r>
        <w:rPr>
          <w:rFonts w:hint="eastAsia" w:cs="宋体" w:asciiTheme="minorEastAsia" w:hAnsiTheme="minorEastAsia"/>
          <w:kern w:val="0"/>
          <w:sz w:val="24"/>
          <w:szCs w:val="24"/>
        </w:rPr>
        <w:t>6</w:t>
      </w:r>
      <w:r>
        <w:rPr>
          <w:rFonts w:cs="宋体" w:asciiTheme="minorEastAsia" w:hAnsiTheme="minorEastAsia"/>
          <w:kern w:val="0"/>
          <w:sz w:val="24"/>
          <w:szCs w:val="24"/>
        </w:rPr>
        <w:t>月22日</w:t>
      </w:r>
      <w:r>
        <w:rPr>
          <w:rFonts w:hint="eastAsia" w:cs="宋体" w:asciiTheme="minorEastAsia" w:hAnsiTheme="minorEastAsia"/>
          <w:kern w:val="0"/>
          <w:sz w:val="24"/>
          <w:szCs w:val="24"/>
        </w:rPr>
        <w:t>（</w:t>
      </w:r>
      <w:r>
        <w:rPr>
          <w:rFonts w:cs="宋体" w:asciiTheme="minorEastAsia" w:hAnsiTheme="minorEastAsia"/>
          <w:kern w:val="0"/>
          <w:sz w:val="24"/>
          <w:szCs w:val="24"/>
        </w:rPr>
        <w:t>星期</w:t>
      </w:r>
      <w:r>
        <w:rPr>
          <w:rFonts w:hint="eastAsia" w:cs="宋体" w:asciiTheme="minorEastAsia" w:hAnsiTheme="minorEastAsia"/>
          <w:kern w:val="0"/>
          <w:sz w:val="24"/>
          <w:szCs w:val="24"/>
        </w:rPr>
        <w:t>五）</w:t>
      </w:r>
      <w:r>
        <w:rPr>
          <w:rFonts w:cs="宋体" w:asciiTheme="minorEastAsia" w:hAnsiTheme="minorEastAsia"/>
          <w:kern w:val="0"/>
          <w:sz w:val="24"/>
          <w:szCs w:val="24"/>
        </w:rPr>
        <w:t>上午9：30—10:</w:t>
      </w:r>
      <w:r>
        <w:rPr>
          <w:rFonts w:hint="eastAsia" w:cs="宋体" w:asciiTheme="minorEastAsia" w:hAnsiTheme="minorEastAsia"/>
          <w:kern w:val="0"/>
          <w:sz w:val="24"/>
          <w:szCs w:val="24"/>
        </w:rPr>
        <w:t>3</w:t>
      </w:r>
      <w:r>
        <w:rPr>
          <w:rFonts w:cs="宋体" w:asciiTheme="minorEastAsia" w:hAnsiTheme="minorEastAsia"/>
          <w:kern w:val="0"/>
          <w:sz w:val="24"/>
          <w:szCs w:val="24"/>
        </w:rPr>
        <w:t>0送达广东工业大学大学城校园生活区东区东十栋</w:t>
      </w:r>
      <w:r>
        <w:rPr>
          <w:rFonts w:hint="eastAsia" w:cs="宋体" w:asciiTheme="minorEastAsia" w:hAnsiTheme="minorEastAsia"/>
          <w:kern w:val="0"/>
          <w:sz w:val="24"/>
          <w:szCs w:val="24"/>
          <w:lang w:val="en-US" w:eastAsia="zh-CN"/>
        </w:rPr>
        <w:t>313</w:t>
      </w:r>
      <w:bookmarkStart w:id="8" w:name="_GoBack"/>
      <w:bookmarkEnd w:id="8"/>
      <w:r>
        <w:rPr>
          <w:rFonts w:cs="宋体" w:asciiTheme="minorEastAsia" w:hAnsiTheme="minorEastAsia"/>
          <w:kern w:val="0"/>
          <w:sz w:val="24"/>
          <w:szCs w:val="24"/>
        </w:rPr>
        <w:t xml:space="preserve">室。 </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九</w:t>
      </w:r>
      <w:r>
        <w:rPr>
          <w:rFonts w:cs="宋体" w:asciiTheme="minorEastAsia" w:hAnsiTheme="minorEastAsia"/>
          <w:kern w:val="0"/>
          <w:sz w:val="24"/>
          <w:szCs w:val="24"/>
        </w:rPr>
        <w:t>、询价评审时间：201</w:t>
      </w:r>
      <w:r>
        <w:rPr>
          <w:rFonts w:hint="eastAsia" w:cs="宋体" w:asciiTheme="minorEastAsia" w:hAnsiTheme="minorEastAsia"/>
          <w:kern w:val="0"/>
          <w:sz w:val="24"/>
          <w:szCs w:val="24"/>
        </w:rPr>
        <w:t>8</w:t>
      </w:r>
      <w:r>
        <w:rPr>
          <w:rFonts w:cs="宋体" w:asciiTheme="minorEastAsia" w:hAnsiTheme="minorEastAsia"/>
          <w:kern w:val="0"/>
          <w:sz w:val="24"/>
          <w:szCs w:val="24"/>
        </w:rPr>
        <w:t>年</w:t>
      </w:r>
      <w:r>
        <w:rPr>
          <w:rFonts w:hint="eastAsia" w:cs="宋体" w:asciiTheme="minorEastAsia" w:hAnsiTheme="minorEastAsia"/>
          <w:kern w:val="0"/>
          <w:sz w:val="24"/>
          <w:szCs w:val="24"/>
        </w:rPr>
        <w:t>6</w:t>
      </w:r>
      <w:r>
        <w:rPr>
          <w:rFonts w:cs="宋体" w:asciiTheme="minorEastAsia" w:hAnsiTheme="minorEastAsia"/>
          <w:kern w:val="0"/>
          <w:sz w:val="24"/>
          <w:szCs w:val="24"/>
        </w:rPr>
        <w:t>月22日</w:t>
      </w:r>
      <w:r>
        <w:rPr>
          <w:rFonts w:hint="eastAsia" w:cs="宋体" w:asciiTheme="minorEastAsia" w:hAnsiTheme="minorEastAsia"/>
          <w:kern w:val="0"/>
          <w:sz w:val="24"/>
          <w:szCs w:val="24"/>
        </w:rPr>
        <w:t>（</w:t>
      </w:r>
      <w:r>
        <w:rPr>
          <w:rFonts w:cs="宋体" w:asciiTheme="minorEastAsia" w:hAnsiTheme="minorEastAsia"/>
          <w:kern w:val="0"/>
          <w:sz w:val="24"/>
          <w:szCs w:val="24"/>
        </w:rPr>
        <w:t>星期</w:t>
      </w:r>
      <w:r>
        <w:rPr>
          <w:rFonts w:hint="eastAsia" w:cs="宋体" w:asciiTheme="minorEastAsia" w:hAnsiTheme="minorEastAsia"/>
          <w:kern w:val="0"/>
          <w:sz w:val="24"/>
          <w:szCs w:val="24"/>
        </w:rPr>
        <w:t>五）</w:t>
      </w:r>
      <w:r>
        <w:rPr>
          <w:rFonts w:cs="宋体" w:asciiTheme="minorEastAsia" w:hAnsiTheme="minorEastAsia"/>
          <w:kern w:val="0"/>
          <w:sz w:val="24"/>
          <w:szCs w:val="24"/>
        </w:rPr>
        <w:t>上午10:</w:t>
      </w:r>
      <w:r>
        <w:rPr>
          <w:rFonts w:hint="eastAsia" w:cs="宋体" w:asciiTheme="minorEastAsia" w:hAnsiTheme="minorEastAsia"/>
          <w:kern w:val="0"/>
          <w:sz w:val="24"/>
          <w:szCs w:val="24"/>
        </w:rPr>
        <w:t>3</w:t>
      </w:r>
      <w:r>
        <w:rPr>
          <w:rFonts w:cs="宋体" w:asciiTheme="minorEastAsia" w:hAnsiTheme="minorEastAsia"/>
          <w:kern w:val="0"/>
          <w:sz w:val="24"/>
          <w:szCs w:val="24"/>
        </w:rPr>
        <w:t>0。</w:t>
      </w:r>
    </w:p>
    <w:p>
      <w:pPr>
        <w:widowControl/>
        <w:spacing w:line="4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十</w:t>
      </w:r>
      <w:r>
        <w:rPr>
          <w:rFonts w:cs="宋体" w:asciiTheme="minorEastAsia" w:hAnsiTheme="minorEastAsia"/>
          <w:kern w:val="0"/>
          <w:sz w:val="24"/>
          <w:szCs w:val="24"/>
        </w:rPr>
        <w:t>、询价评审地点：广东工业大学大学城校园生活区东区东十栋313室。</w:t>
      </w:r>
    </w:p>
    <w:p>
      <w:pPr>
        <w:widowControl/>
        <w:spacing w:line="460" w:lineRule="exact"/>
        <w:ind w:firstLine="480" w:firstLineChars="200"/>
        <w:jc w:val="left"/>
        <w:rPr>
          <w:rFonts w:cs="宋体" w:asciiTheme="minorEastAsia" w:hAnsiTheme="minorEastAsia"/>
          <w:kern w:val="0"/>
          <w:sz w:val="24"/>
          <w:szCs w:val="24"/>
        </w:rPr>
      </w:pPr>
      <w:r>
        <w:rPr>
          <w:rFonts w:cs="宋体" w:asciiTheme="minorEastAsia" w:hAnsiTheme="minorEastAsia"/>
          <w:kern w:val="0"/>
          <w:sz w:val="24"/>
          <w:szCs w:val="24"/>
        </w:rPr>
        <w:t>十</w:t>
      </w:r>
      <w:r>
        <w:rPr>
          <w:rFonts w:hint="eastAsia" w:cs="宋体" w:asciiTheme="minorEastAsia" w:hAnsiTheme="minorEastAsia"/>
          <w:kern w:val="0"/>
          <w:sz w:val="24"/>
          <w:szCs w:val="24"/>
        </w:rPr>
        <w:t>一</w:t>
      </w:r>
      <w:r>
        <w:rPr>
          <w:rFonts w:cs="宋体" w:asciiTheme="minorEastAsia" w:hAnsiTheme="minorEastAsia"/>
          <w:kern w:val="0"/>
          <w:sz w:val="24"/>
          <w:szCs w:val="24"/>
        </w:rPr>
        <w:t>、联系方法：</w:t>
      </w:r>
      <w:r>
        <w:rPr>
          <w:rFonts w:hint="eastAsia" w:cs="宋体" w:asciiTheme="minorEastAsia" w:hAnsiTheme="minorEastAsia"/>
          <w:kern w:val="0"/>
          <w:sz w:val="24"/>
          <w:szCs w:val="24"/>
        </w:rPr>
        <w:t>黎老师</w:t>
      </w:r>
      <w:r>
        <w:rPr>
          <w:rFonts w:cs="宋体" w:asciiTheme="minorEastAsia" w:hAnsiTheme="minorEastAsia"/>
          <w:kern w:val="0"/>
          <w:sz w:val="24"/>
          <w:szCs w:val="24"/>
        </w:rPr>
        <w:t xml:space="preserve"> 020—393</w:t>
      </w:r>
      <w:r>
        <w:rPr>
          <w:rFonts w:hint="eastAsia" w:cs="宋体" w:asciiTheme="minorEastAsia" w:hAnsiTheme="minorEastAsia"/>
          <w:kern w:val="0"/>
          <w:sz w:val="24"/>
          <w:szCs w:val="24"/>
        </w:rPr>
        <w:t>37593</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E8"/>
    <w:rsid w:val="000854BB"/>
    <w:rsid w:val="000A77B9"/>
    <w:rsid w:val="00107954"/>
    <w:rsid w:val="001922C3"/>
    <w:rsid w:val="001E33F3"/>
    <w:rsid w:val="003245E8"/>
    <w:rsid w:val="003B3D1D"/>
    <w:rsid w:val="003E294E"/>
    <w:rsid w:val="00530F9F"/>
    <w:rsid w:val="005E0383"/>
    <w:rsid w:val="0060409D"/>
    <w:rsid w:val="00817F5C"/>
    <w:rsid w:val="00947C83"/>
    <w:rsid w:val="00983D93"/>
    <w:rsid w:val="00A140F5"/>
    <w:rsid w:val="00A43233"/>
    <w:rsid w:val="00AF0181"/>
    <w:rsid w:val="00C37EA8"/>
    <w:rsid w:val="00CC3A8E"/>
    <w:rsid w:val="00E361B2"/>
    <w:rsid w:val="00E738E5"/>
    <w:rsid w:val="00FE5A9F"/>
    <w:rsid w:val="5E6B42EC"/>
    <w:rsid w:val="629F0F18"/>
    <w:rsid w:val="696763B8"/>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5"/>
    <w:link w:val="2"/>
    <w:semiHidden/>
    <w:qFormat/>
    <w:uiPriority w:val="99"/>
    <w:rPr>
      <w:sz w:val="18"/>
      <w:szCs w:val="18"/>
    </w:rPr>
  </w:style>
  <w:style w:type="character" w:customStyle="1" w:styleId="8">
    <w:name w:val="页眉 字符"/>
    <w:basedOn w:val="5"/>
    <w:link w:val="4"/>
    <w:uiPriority w:val="99"/>
    <w:rPr>
      <w:sz w:val="18"/>
      <w:szCs w:val="18"/>
    </w:rPr>
  </w:style>
  <w:style w:type="character" w:customStyle="1" w:styleId="9">
    <w:name w:val="页脚 字符"/>
    <w:basedOn w:val="5"/>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435</Words>
  <Characters>2481</Characters>
  <Lines>20</Lines>
  <Paragraphs>5</Paragraphs>
  <ScaleCrop>false</ScaleCrop>
  <LinksUpToDate>false</LinksUpToDate>
  <CharactersWithSpaces>2911</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2018-06-13T02:07:00Z</dcterms:created>
  <dc:creator>lwk</dc:creator>
  <cp:lastModifiedBy>Administrator</cp:lastModifiedBy>
  <cp:lastPrinted>2018-06-13T05:54:00Z</cp:lastPrinted>
  <dcterms:modified xsi:type="dcterms:W3CDTF">2018-06-15T07:34:08Z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