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zh-CN"/>
        </w:rPr>
      </w:pPr>
      <w:bookmarkStart w:id="0" w:name="_Toc11266"/>
      <w:r>
        <w:rPr>
          <w:rFonts w:hint="eastAsia"/>
          <w:b/>
          <w:bCs/>
          <w:sz w:val="28"/>
          <w:szCs w:val="28"/>
          <w:lang w:val="zh-CN"/>
        </w:rPr>
        <w:t>虎门镇2016-2018年截污次支管网工程房屋安全鉴定服务单位项目</w:t>
      </w:r>
    </w:p>
    <w:p>
      <w:pPr>
        <w:jc w:val="center"/>
        <w:rPr>
          <w:rFonts w:hint="eastAsia"/>
          <w:b/>
          <w:bCs/>
          <w:sz w:val="28"/>
          <w:szCs w:val="28"/>
          <w:lang w:val="zh-CN"/>
        </w:rPr>
      </w:pPr>
      <w:bookmarkStart w:id="9" w:name="_GoBack"/>
      <w:r>
        <w:rPr>
          <w:rFonts w:hint="eastAsia"/>
          <w:b/>
          <w:bCs/>
          <w:sz w:val="28"/>
          <w:szCs w:val="28"/>
          <w:lang w:val="zh-CN"/>
        </w:rPr>
        <w:t>用户需求书</w:t>
      </w:r>
      <w:bookmarkEnd w:id="0"/>
    </w:p>
    <w:bookmarkEnd w:id="9"/>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olor w:val="auto"/>
          <w:sz w:val="32"/>
          <w:highlight w:val="none"/>
        </w:rPr>
      </w:pPr>
      <w:bookmarkStart w:id="1" w:name="_Toc7088"/>
      <w:r>
        <w:rPr>
          <w:rFonts w:hint="eastAsia" w:ascii="宋体" w:hAnsi="宋体" w:eastAsia="宋体"/>
          <w:color w:val="auto"/>
          <w:sz w:val="24"/>
          <w:szCs w:val="24"/>
          <w:highlight w:val="none"/>
        </w:rPr>
        <w:t>一、项目概述</w:t>
      </w:r>
      <w:bookmarkEnd w:id="1"/>
      <w:r>
        <w:rPr>
          <w:rFonts w:hint="eastAsia" w:ascii="宋体" w:hAnsi="宋体" w:eastAsia="宋体"/>
          <w:color w:val="auto"/>
          <w:sz w:val="32"/>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虎门镇2016-2018年截污次支管网工程准备开工，管网沿路两侧存在各类居民房屋（第一片区：金宁路、宁江路、宁馨北路、麒麟西路、建设南路、江涌路共8栋；第二片区：环岛路、天培露、南北大道、长堤路、东方下路、人民北路、连升北路共62栋；第三片区：海景东路、南新路、文明路、文明里十五巷、文明路十八巷、太沙路、宴岗大道、路东大道、新安西路、东环二路、新围被二路、富民路、无名路共116栋；第四片区：富民路、三江路、西湖路、太沙路、沙电路、沿河路、连升南路、振兴路共107栋）合计293栋，管网工程施工可能会使这些房屋受到一定的影响，为明确工程施工对周边房屋的影响程度，也为日后的房屋受损理赔提供科学的依据，建设单位拟委托专业鉴定机构对周边房屋进行房屋变形观测和裂缝检查鉴定。 </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olor w:val="auto"/>
          <w:sz w:val="32"/>
          <w:highlight w:val="none"/>
        </w:rPr>
      </w:pPr>
      <w:bookmarkStart w:id="2" w:name="_Toc26188"/>
      <w:r>
        <w:rPr>
          <w:rFonts w:hint="eastAsia" w:ascii="宋体" w:hAnsi="宋体" w:eastAsia="宋体"/>
          <w:color w:val="auto"/>
          <w:sz w:val="24"/>
          <w:szCs w:val="24"/>
          <w:highlight w:val="none"/>
        </w:rPr>
        <w:t>二、鉴定的服务范围及内容</w:t>
      </w:r>
      <w:bookmarkEnd w:id="2"/>
      <w:r>
        <w:rPr>
          <w:rFonts w:hint="eastAsia" w:ascii="宋体" w:hAnsi="宋体" w:eastAsia="宋体"/>
          <w:color w:val="auto"/>
          <w:sz w:val="32"/>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虎门镇2016-2018年截污次支管网拟建场地沿路两侧的居民房屋（第一片区：金宁路、宁江路、宁馨北路、麒麟西路、建设南路、江涌路共8栋；第二片区：环岛路、天培露、南北大道、长堤路、东方下路、人民北路、连升北路共62栋；第三片区：海景东路、南新路、文明路、文明里十五巷、文明路十八巷、太沙路、宴岗大道、路东大道、新安西路、东环二路、新围被二路、富民路、无名路共116栋；第四片区：富民路、三江路、西湖路、太沙路、沙电路、沿河路、连升南路、振兴路共107栋）合计293栋，在管网施工期间进行房屋变形观测和裂缝检查鉴定。观测检查鉴定的次数为两次：管网施工前的房屋现状检查鉴定1次、管网完工后1个月内检查鉴定1次。具体的服务内容如下：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color w:val="auto"/>
          <w:sz w:val="30"/>
          <w:highlight w:val="none"/>
        </w:rPr>
      </w:pPr>
      <w:r>
        <w:rPr>
          <w:rFonts w:hint="eastAsia" w:ascii="宋体" w:hAnsi="宋体" w:eastAsia="宋体"/>
          <w:b/>
          <w:bCs/>
          <w:color w:val="auto"/>
          <w:sz w:val="24"/>
          <w:szCs w:val="24"/>
          <w:highlight w:val="none"/>
        </w:rPr>
        <w:t>1、前期准备工作</w:t>
      </w:r>
      <w:r>
        <w:rPr>
          <w:rFonts w:hint="eastAsia" w:ascii="宋体" w:hAnsi="宋体" w:eastAsia="宋体"/>
          <w:color w:val="auto"/>
          <w:sz w:val="30"/>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由委托人确定需要进行观测的房屋名单并且向业主通知相关检查事宜、约定集中检查时间，向鉴定单位提供房屋名单和联系电话。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rPr>
        <w:t xml:space="preserve">2、测绘建筑平面和结构平面图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对每栋房屋的建筑平面简图和结构平面简图进行现场测绘，现场形成草图，测绘成果最后用制图软件电脑打印。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color w:val="auto"/>
          <w:sz w:val="30"/>
          <w:highlight w:val="none"/>
        </w:rPr>
      </w:pPr>
      <w:r>
        <w:rPr>
          <w:rFonts w:hint="eastAsia" w:ascii="宋体" w:hAnsi="宋体" w:eastAsia="宋体"/>
          <w:b/>
          <w:bCs/>
          <w:color w:val="auto"/>
          <w:sz w:val="24"/>
          <w:szCs w:val="24"/>
          <w:highlight w:val="none"/>
        </w:rPr>
        <w:t>3、现状完损性检查</w:t>
      </w:r>
      <w:r>
        <w:rPr>
          <w:rFonts w:hint="eastAsia" w:ascii="宋体" w:hAnsi="宋体" w:eastAsia="宋体"/>
          <w:color w:val="auto"/>
          <w:sz w:val="30"/>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检查梁柱板和墙体的可见裂缝，对主要裂缝进行标记记录，标记记录的方法为：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（1）在建筑平面图上记录主要裂缝的分布；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（2）用相机拍摄主要裂缝；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（3）对于有必要的结构性裂缝，用裂缝测宽仪测量裂缝宽度。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（4）在主要裂缝中选取有代表性的裂缝，用漆笔和石膏饼等在现场对代表性裂缝的宽度和长度进行标记，注明标记点的编号和日期，以便观察裂缝发展的情况。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color w:val="auto"/>
          <w:sz w:val="30"/>
          <w:highlight w:val="none"/>
        </w:rPr>
      </w:pPr>
      <w:r>
        <w:rPr>
          <w:rFonts w:hint="eastAsia" w:ascii="宋体" w:hAnsi="宋体" w:eastAsia="宋体"/>
          <w:b/>
          <w:bCs/>
          <w:color w:val="auto"/>
          <w:sz w:val="24"/>
          <w:szCs w:val="24"/>
          <w:highlight w:val="none"/>
        </w:rPr>
        <w:t>4、房屋裂缝变化观测</w:t>
      </w:r>
      <w:r>
        <w:rPr>
          <w:rFonts w:hint="eastAsia" w:ascii="宋体" w:hAnsi="宋体" w:eastAsia="宋体"/>
          <w:color w:val="auto"/>
          <w:sz w:val="30"/>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在工程施工期间定期观测裂缝的发展情况。观测内容主要为：有没有新的裂缝产生，现状裂缝有没有变化，变化情况如何。观测频率为：工地开工前检查1次，施工完毕后的1个月内检查1次 (遇特殊情况，如果甲方要求增加观测次数，费用另计)。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观测期间如发现有新的裂缝产生，应该对有代表性的新裂缝设置观测标记（漆笔和石膏饼），并注明日期；如发现原有裂缝变长或变宽，应在伸展处和已有的石膏饼旁边重新设置观测标记（漆笔和石膏饼），并注明日期，然后测量裂缝宽度的变化量。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color w:val="auto"/>
          <w:sz w:val="30"/>
          <w:highlight w:val="none"/>
        </w:rPr>
      </w:pPr>
      <w:r>
        <w:rPr>
          <w:rFonts w:hint="eastAsia" w:ascii="宋体" w:hAnsi="宋体" w:eastAsia="宋体"/>
          <w:b/>
          <w:bCs/>
          <w:color w:val="auto"/>
          <w:sz w:val="24"/>
          <w:szCs w:val="24"/>
          <w:highlight w:val="none"/>
        </w:rPr>
        <w:t>5、房屋倾斜观测</w:t>
      </w:r>
      <w:r>
        <w:rPr>
          <w:rFonts w:hint="eastAsia" w:ascii="宋体" w:hAnsi="宋体" w:eastAsia="宋体"/>
          <w:color w:val="auto"/>
          <w:sz w:val="30"/>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工地开工前和施工完毕后的1个月内分别对房屋进行1次倾斜测量（共2次）。采用拓普康GTS－212型全站仪测量，选取两个屋角为测轴，在测量基准点上设置全站仪，采用方向交会法测出房屋的倾斜度。(遇特殊情况，如果甲方要求增加观测次数，费用另计)。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color w:val="auto"/>
          <w:sz w:val="30"/>
          <w:highlight w:val="none"/>
        </w:rPr>
      </w:pPr>
      <w:r>
        <w:rPr>
          <w:rFonts w:hint="eastAsia" w:ascii="宋体" w:hAnsi="宋体" w:eastAsia="宋体"/>
          <w:b/>
          <w:bCs/>
          <w:color w:val="auto"/>
          <w:sz w:val="24"/>
          <w:szCs w:val="24"/>
          <w:highlight w:val="none"/>
        </w:rPr>
        <w:t>6、房屋沉降观测</w:t>
      </w:r>
      <w:r>
        <w:rPr>
          <w:rFonts w:hint="eastAsia" w:ascii="宋体" w:hAnsi="宋体" w:eastAsia="宋体"/>
          <w:color w:val="auto"/>
          <w:sz w:val="30"/>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在工程施工期间，对房屋的沉降情况进行观测。采用拓普康GTS－212型全站仪测量，在前后两个屋角上分别设置一个观测点，在测量基准点上设置全站仪，对房屋进行定期沉降观测，观测次数为：工地开工前测量1次高程，工程施工完毕的1个月内再测量1次高程。(遇特殊情况，如果甲方要求增加观测次数，费用另计)。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color w:val="auto"/>
          <w:sz w:val="30"/>
          <w:highlight w:val="none"/>
        </w:rPr>
      </w:pPr>
      <w:r>
        <w:rPr>
          <w:rFonts w:hint="eastAsia" w:ascii="宋体" w:hAnsi="宋体" w:eastAsia="宋体"/>
          <w:b/>
          <w:bCs/>
          <w:color w:val="auto"/>
          <w:sz w:val="24"/>
          <w:szCs w:val="24"/>
          <w:highlight w:val="none"/>
        </w:rPr>
        <w:t>7、施工过程的协调解释</w:t>
      </w:r>
      <w:r>
        <w:rPr>
          <w:rFonts w:hint="eastAsia" w:ascii="宋体" w:hAnsi="宋体" w:eastAsia="宋体"/>
          <w:color w:val="auto"/>
          <w:sz w:val="30"/>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在工程施工期间，如果有周边房屋的业主提出疑问或者发生相关纠纷，要配合双方进行技术方面的解释、答疑。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color w:val="auto"/>
          <w:sz w:val="30"/>
          <w:highlight w:val="none"/>
        </w:rPr>
      </w:pPr>
      <w:r>
        <w:rPr>
          <w:rFonts w:hint="eastAsia" w:ascii="宋体" w:hAnsi="宋体" w:eastAsia="宋体"/>
          <w:b/>
          <w:bCs/>
          <w:color w:val="auto"/>
          <w:sz w:val="24"/>
          <w:szCs w:val="24"/>
          <w:highlight w:val="none"/>
        </w:rPr>
        <w:t>8、分析鉴定、编写报告</w:t>
      </w:r>
      <w:r>
        <w:rPr>
          <w:rFonts w:hint="eastAsia" w:ascii="宋体" w:hAnsi="宋体" w:eastAsia="宋体"/>
          <w:color w:val="auto"/>
          <w:sz w:val="30"/>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每次完成现场检查后，出具相应的《房屋变形观测与裂缝检查鉴定报告》，根据裂缝情况和倾斜情况，对比裂缝变化情况、倾斜变化情况和沉降变化情况，对房屋倾斜和房屋裂缝的安全性作鉴定分析，提出结论和相应的处理建议。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管网工程施工完毕后的1个月内，结束观测变形观测，整个观测过程出具2次《房屋变形观测与裂缝检查鉴定报告》：开始1次、结束1次。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outlineLvl w:val="9"/>
        <w:rPr>
          <w:rFonts w:hint="eastAsia" w:ascii="宋体" w:hAnsi="宋体" w:eastAsia="宋体"/>
          <w:color w:val="auto"/>
          <w:sz w:val="30"/>
          <w:highlight w:val="none"/>
        </w:rPr>
      </w:pPr>
      <w:r>
        <w:rPr>
          <w:rFonts w:hint="eastAsia" w:ascii="宋体" w:hAnsi="宋体" w:eastAsia="宋体"/>
          <w:b/>
          <w:bCs/>
          <w:color w:val="auto"/>
          <w:sz w:val="24"/>
          <w:szCs w:val="24"/>
          <w:highlight w:val="none"/>
        </w:rPr>
        <w:t>9、现场观测的多方配合</w:t>
      </w:r>
      <w:r>
        <w:rPr>
          <w:rFonts w:hint="eastAsia" w:ascii="宋体" w:hAnsi="宋体" w:eastAsia="宋体"/>
          <w:color w:val="auto"/>
          <w:sz w:val="30"/>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right="0" w:rightChars="0" w:firstLine="0" w:firstLineChars="0"/>
        <w:jc w:val="left"/>
        <w:textAlignment w:val="auto"/>
        <w:rPr>
          <w:rFonts w:hint="eastAsia" w:ascii="宋体" w:hAnsi="宋体" w:eastAsia="宋体"/>
          <w:color w:val="auto"/>
          <w:sz w:val="23"/>
          <w:highlight w:val="none"/>
        </w:rPr>
      </w:pPr>
      <w:r>
        <w:rPr>
          <w:rFonts w:hint="eastAsia" w:ascii="宋体" w:hAnsi="宋体" w:eastAsia="宋体" w:cs="宋体"/>
          <w:color w:val="auto"/>
          <w:sz w:val="21"/>
          <w:szCs w:val="21"/>
          <w:highlight w:val="none"/>
        </w:rPr>
        <w:t>每次现场检查，房屋业主和工地建设单位应安排人员跟踪协调，检查前，房屋业主应打开所有房间门户，并且陪同检查。</w:t>
      </w:r>
      <w:r>
        <w:rPr>
          <w:rFonts w:hint="eastAsia" w:ascii="宋体" w:hAnsi="宋体" w:eastAsia="宋体"/>
          <w:color w:val="auto"/>
          <w:sz w:val="23"/>
          <w:highlight w:val="none"/>
        </w:rPr>
        <w:t xml:space="preserve"> </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rPr>
          <w:rFonts w:hint="eastAsia" w:ascii="宋体" w:hAnsi="宋体" w:eastAsia="宋体"/>
          <w:color w:val="auto"/>
          <w:sz w:val="24"/>
          <w:szCs w:val="24"/>
          <w:highlight w:val="none"/>
        </w:rPr>
      </w:pPr>
      <w:bookmarkStart w:id="3" w:name="_Toc32245"/>
      <w:r>
        <w:rPr>
          <w:rFonts w:hint="eastAsia" w:ascii="宋体" w:hAnsi="宋体" w:eastAsia="宋体"/>
          <w:color w:val="auto"/>
          <w:sz w:val="24"/>
          <w:szCs w:val="24"/>
          <w:highlight w:val="none"/>
        </w:rPr>
        <w:t>三、鉴定技术依据</w:t>
      </w:r>
      <w:bookmarkEnd w:id="3"/>
      <w:r>
        <w:rPr>
          <w:rFonts w:hint="eastAsia" w:ascii="宋体" w:hAnsi="宋体" w:eastAsia="宋体"/>
          <w:color w:val="auto"/>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1.《房屋完损等级评定标准》（城住字84第678号）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2.《建筑变形测量规程》JGJ/T 8－97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3.《危险房屋鉴定标准》JGJ 125－2016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4.《民用建筑可靠性鉴定标准》GB50292-2015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5.《混凝土结构混凝土设计规范》GB50010；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6.《砌体结构设计规范》GB 50003；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 国家建筑结构有关的标准、规程、规范； </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rPr>
          <w:rFonts w:hint="eastAsia" w:ascii="宋体" w:hAnsi="宋体" w:eastAsia="宋体"/>
          <w:color w:val="auto"/>
          <w:sz w:val="32"/>
          <w:highlight w:val="none"/>
        </w:rPr>
      </w:pPr>
      <w:bookmarkStart w:id="4" w:name="_Toc17203"/>
      <w:r>
        <w:rPr>
          <w:rFonts w:hint="eastAsia" w:ascii="宋体" w:hAnsi="宋体" w:eastAsia="宋体"/>
          <w:color w:val="auto"/>
          <w:sz w:val="24"/>
          <w:szCs w:val="24"/>
          <w:highlight w:val="none"/>
        </w:rPr>
        <w:t>四、收费标准</w:t>
      </w:r>
      <w:bookmarkEnd w:id="4"/>
      <w:r>
        <w:rPr>
          <w:rFonts w:hint="eastAsia" w:ascii="宋体" w:hAnsi="宋体" w:eastAsia="宋体"/>
          <w:color w:val="auto"/>
          <w:sz w:val="32"/>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本项目收费标准参照粤价函〔2004〕428号《广东省建筑工程质量检测收费项目及标准表》里面56-1的30元/㎡的80%进行收费。 </w:t>
      </w:r>
    </w:p>
    <w:tbl>
      <w:tblPr>
        <w:tblStyle w:val="5"/>
        <w:tblW w:w="964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0"/>
        <w:gridCol w:w="1410"/>
        <w:gridCol w:w="1950"/>
        <w:gridCol w:w="1080"/>
        <w:gridCol w:w="1080"/>
        <w:gridCol w:w="2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 号</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检 测 名 称</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检 测 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计算单位</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收费标准（元）</w:t>
            </w:r>
          </w:p>
        </w:tc>
        <w:tc>
          <w:tcPr>
            <w:tcW w:w="2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56-1</w:t>
            </w:r>
          </w:p>
        </w:tc>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建筑结构鉴定</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建筑物结构检测及鉴定（综合）</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w:t>
            </w:r>
          </w:p>
        </w:tc>
        <w:tc>
          <w:tcPr>
            <w:tcW w:w="2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1、15元/平方米（仅检测）2、不足为100平方米 按合同约定。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56-2</w:t>
            </w: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检测楼板厚度</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点</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50</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56-3</w:t>
            </w: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图纸复核</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平方米</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2.8-3.1</w:t>
            </w:r>
          </w:p>
        </w:tc>
        <w:tc>
          <w:tcPr>
            <w:tcW w:w="2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≤2000平方米，取3.1；＞2000平方米，取2.8；不足1000平方米按合同约定。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56-4</w:t>
            </w: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砼钢筋及保护层厚度检测</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每构件</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300</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56-5</w:t>
            </w: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检测构件裂缝、箍筋间距、钢筋直径</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200</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r>
    </w:tbl>
    <w:p>
      <w:pPr>
        <w:spacing w:line="420" w:lineRule="atLeast"/>
        <w:ind w:firstLine="537" w:firstLineChars="206"/>
        <w:rPr>
          <w:rFonts w:hint="eastAsia" w:ascii="宋体" w:hAnsi="宋体"/>
          <w:b/>
          <w:color w:val="auto"/>
          <w:spacing w:val="20"/>
          <w:sz w:val="22"/>
          <w:szCs w:val="22"/>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rPr>
          <w:rFonts w:hint="eastAsia" w:ascii="宋体" w:hAnsi="宋体"/>
          <w:b/>
          <w:color w:val="auto"/>
          <w:spacing w:val="20"/>
          <w:sz w:val="24"/>
          <w:szCs w:val="24"/>
          <w:highlight w:val="none"/>
        </w:rPr>
      </w:pPr>
      <w:bookmarkStart w:id="5" w:name="_Toc14012"/>
      <w:r>
        <w:rPr>
          <w:rFonts w:hint="eastAsia"/>
          <w:b/>
          <w:color w:val="auto"/>
          <w:spacing w:val="20"/>
          <w:sz w:val="24"/>
          <w:szCs w:val="24"/>
          <w:highlight w:val="none"/>
          <w:lang w:eastAsia="zh-CN"/>
        </w:rPr>
        <w:t>五</w:t>
      </w:r>
      <w:r>
        <w:rPr>
          <w:rFonts w:hint="eastAsia" w:ascii="宋体" w:hAnsi="宋体"/>
          <w:b/>
          <w:color w:val="auto"/>
          <w:spacing w:val="20"/>
          <w:sz w:val="24"/>
          <w:szCs w:val="24"/>
          <w:highlight w:val="none"/>
        </w:rPr>
        <w:t>、服务要求</w:t>
      </w:r>
      <w:bookmarkEnd w:id="5"/>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1.中标人须无条件接受采购人的工作安排。</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★2.在《中标通知书》发出之日起三十日内，中标人应安排法定代表人与采购人按照采购文件确定的事项签订采购合同；在签订采购合同后项目实施过程中，中标人应每周与采购人汇报项目进度</w:t>
      </w:r>
      <w:r>
        <w:rPr>
          <w:rFonts w:hint="eastAsia" w:ascii="宋体" w:hAnsi="宋体"/>
          <w:b/>
          <w:color w:val="auto"/>
          <w:sz w:val="22"/>
          <w:szCs w:val="22"/>
          <w:highlight w:val="none"/>
        </w:rPr>
        <w:t>（提供单独书面承诺书）</w:t>
      </w:r>
      <w:r>
        <w:rPr>
          <w:rFonts w:hint="eastAsia" w:ascii="宋体" w:hAnsi="宋体"/>
          <w:color w:val="auto"/>
          <w:sz w:val="22"/>
          <w:szCs w:val="22"/>
          <w:highlight w:val="none"/>
        </w:rPr>
        <w:t>。</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3.采购人将对中标人实行动态管理，对中标人的服务承诺.服务态度等进行定期和不定期的考核，一旦发现中标人违反招标文件要求及其承诺，将要求其限期整改，整改期间暂停其服务资格，整改完成后达到要求则恢复其资格，否则取消其资格。</w:t>
      </w:r>
      <w:r>
        <w:rPr>
          <w:rFonts w:hint="eastAsia" w:ascii="宋体" w:hAnsi="宋体"/>
          <w:b/>
          <w:color w:val="auto"/>
          <w:sz w:val="22"/>
          <w:szCs w:val="22"/>
          <w:highlight w:val="none"/>
        </w:rPr>
        <w:t>（须单独提供书面承诺书）</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4.中标人应承担由自身过错导致的任何责任。</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5.中标人应指定项目负责人作为与采购人的联系人。在项目服务过程中，未经建设单位同意，不得更换项目负责人。</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6.在本项目中，必须遵循国家.省.市有关法律法规；严格执行与之相关的现行的技术标准.技术规范和规范性文件。</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7.中标人应在规定的时间内，按照合同的具体要求提交技术文件，并确保其质量要求。</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8.中标人应当坚持公正.科学.诚信的工作原则，遵守职业道德，讲求专业信誉，对社会责任负责，对采购人负责，不得违反国家法律.法规.政策及有关管理要求。</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9.中标人在编制文件过程中应积极主动与采购人进行沟通。本着诚实信用的原则，高效率的提供本需求规定的各项服务。</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10.本项目执行过程中将遵循国家.省.市有关法律.法规.标准.技术规范和规范性文件的最新规定。</w:t>
      </w:r>
    </w:p>
    <w:p>
      <w:pPr>
        <w:spacing w:line="420" w:lineRule="atLeast"/>
        <w:ind w:firstLine="0" w:firstLineChars="0"/>
        <w:rPr>
          <w:rFonts w:hint="eastAsia" w:ascii="宋体" w:hAnsi="宋体"/>
          <w:color w:val="auto"/>
          <w:sz w:val="22"/>
          <w:szCs w:val="22"/>
          <w:highlight w:val="none"/>
        </w:rPr>
      </w:pPr>
      <w:r>
        <w:rPr>
          <w:rFonts w:hint="eastAsia" w:ascii="宋体" w:hAnsi="宋体"/>
          <w:color w:val="auto"/>
          <w:sz w:val="22"/>
          <w:szCs w:val="22"/>
          <w:highlight w:val="none"/>
        </w:rPr>
        <w:t xml:space="preserve"> </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rPr>
          <w:rFonts w:hint="eastAsia" w:ascii="宋体" w:hAnsi="宋体"/>
          <w:b/>
          <w:color w:val="auto"/>
          <w:spacing w:val="20"/>
          <w:sz w:val="24"/>
          <w:szCs w:val="24"/>
          <w:highlight w:val="none"/>
        </w:rPr>
      </w:pPr>
      <w:bookmarkStart w:id="6" w:name="_Toc6789"/>
      <w:r>
        <w:rPr>
          <w:rFonts w:hint="eastAsia"/>
          <w:b/>
          <w:color w:val="auto"/>
          <w:spacing w:val="20"/>
          <w:sz w:val="24"/>
          <w:szCs w:val="24"/>
          <w:highlight w:val="none"/>
          <w:lang w:eastAsia="zh-CN"/>
        </w:rPr>
        <w:t>六</w:t>
      </w:r>
      <w:r>
        <w:rPr>
          <w:rFonts w:hint="eastAsia" w:ascii="宋体" w:hAnsi="宋体"/>
          <w:b/>
          <w:color w:val="auto"/>
          <w:spacing w:val="20"/>
          <w:sz w:val="24"/>
          <w:szCs w:val="24"/>
          <w:highlight w:val="none"/>
        </w:rPr>
        <w:t>、付款方式</w:t>
      </w:r>
      <w:bookmarkEnd w:id="6"/>
    </w:p>
    <w:p>
      <w:pPr>
        <w:spacing w:line="420" w:lineRule="atLeast"/>
        <w:ind w:firstLine="453" w:firstLineChars="206"/>
        <w:rPr>
          <w:rFonts w:hint="eastAsia" w:ascii="宋体"/>
          <w:color w:val="auto"/>
          <w:sz w:val="22"/>
          <w:szCs w:val="22"/>
          <w:highlight w:val="none"/>
        </w:rPr>
      </w:pPr>
      <w:r>
        <w:rPr>
          <w:rFonts w:hint="eastAsia" w:ascii="宋体" w:hAnsi="宋体"/>
          <w:color w:val="auto"/>
          <w:sz w:val="22"/>
          <w:szCs w:val="22"/>
          <w:highlight w:val="none"/>
        </w:rPr>
        <w:t>1、第一次房屋变形观测和裂缝检查鉴定报告完成后支付合同价款40</w:t>
      </w:r>
      <w:r>
        <w:rPr>
          <w:rFonts w:ascii="宋体" w:hAnsi="宋体"/>
          <w:color w:val="auto"/>
          <w:sz w:val="22"/>
          <w:szCs w:val="22"/>
          <w:highlight w:val="none"/>
        </w:rPr>
        <w:t>%</w:t>
      </w:r>
      <w:r>
        <w:rPr>
          <w:rFonts w:hint="eastAsia" w:ascii="宋体" w:hAnsi="宋体"/>
          <w:color w:val="auto"/>
          <w:sz w:val="22"/>
          <w:szCs w:val="22"/>
          <w:highlight w:val="none"/>
        </w:rPr>
        <w:t>，第二次房屋变形观测和裂缝检查鉴定报告完成后支付合同价款50</w:t>
      </w:r>
      <w:r>
        <w:rPr>
          <w:rFonts w:ascii="宋体" w:hAnsi="宋体"/>
          <w:color w:val="auto"/>
          <w:sz w:val="22"/>
          <w:szCs w:val="22"/>
          <w:highlight w:val="none"/>
        </w:rPr>
        <w:t>%</w:t>
      </w:r>
      <w:r>
        <w:rPr>
          <w:rFonts w:hint="eastAsia" w:ascii="宋体" w:hAnsi="宋体"/>
          <w:color w:val="auto"/>
          <w:sz w:val="22"/>
          <w:szCs w:val="22"/>
          <w:highlight w:val="none"/>
        </w:rPr>
        <w:t>。</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2、整个工程（虎门镇201</w:t>
      </w:r>
      <w:r>
        <w:rPr>
          <w:rFonts w:hint="eastAsia" w:hAnsi="宋体"/>
          <w:color w:val="auto"/>
          <w:sz w:val="22"/>
          <w:szCs w:val="22"/>
          <w:highlight w:val="none"/>
          <w:lang w:val="en-US" w:eastAsia="zh-CN"/>
        </w:rPr>
        <w:t>6</w:t>
      </w:r>
      <w:r>
        <w:rPr>
          <w:rFonts w:hint="eastAsia" w:ascii="宋体" w:hAnsi="宋体"/>
          <w:color w:val="auto"/>
          <w:sz w:val="22"/>
          <w:szCs w:val="22"/>
          <w:highlight w:val="none"/>
        </w:rPr>
        <w:t>-201</w:t>
      </w:r>
      <w:r>
        <w:rPr>
          <w:rFonts w:hint="eastAsia" w:hAnsi="宋体"/>
          <w:color w:val="auto"/>
          <w:sz w:val="22"/>
          <w:szCs w:val="22"/>
          <w:highlight w:val="none"/>
          <w:lang w:val="en-US" w:eastAsia="zh-CN"/>
        </w:rPr>
        <w:t>8</w:t>
      </w:r>
      <w:r>
        <w:rPr>
          <w:rFonts w:hint="eastAsia" w:ascii="宋体" w:hAnsi="宋体"/>
          <w:color w:val="auto"/>
          <w:sz w:val="22"/>
          <w:szCs w:val="22"/>
          <w:highlight w:val="none"/>
        </w:rPr>
        <w:t>年截污次支管网工程）完工及竣工验收之后</w:t>
      </w:r>
      <w:r>
        <w:rPr>
          <w:rFonts w:ascii="宋体" w:hAnsi="宋体"/>
          <w:color w:val="auto"/>
          <w:sz w:val="22"/>
          <w:szCs w:val="22"/>
          <w:highlight w:val="none"/>
        </w:rPr>
        <w:t>30</w:t>
      </w:r>
      <w:r>
        <w:rPr>
          <w:rFonts w:hint="eastAsia" w:ascii="宋体" w:hAnsi="宋体"/>
          <w:color w:val="auto"/>
          <w:sz w:val="22"/>
          <w:szCs w:val="22"/>
          <w:highlight w:val="none"/>
        </w:rPr>
        <w:t>天内，采购人按结算价一次性支付余款。</w:t>
      </w:r>
    </w:p>
    <w:p>
      <w:pPr>
        <w:spacing w:line="420" w:lineRule="atLeast"/>
        <w:ind w:firstLine="494" w:firstLineChars="206"/>
        <w:rPr>
          <w:rFonts w:hint="eastAsia" w:ascii="宋体" w:hAnsi="宋体" w:cs="宋体"/>
          <w:color w:val="auto"/>
          <w:sz w:val="24"/>
          <w:szCs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rPr>
          <w:rFonts w:hint="eastAsia" w:ascii="宋体" w:hAnsi="宋体"/>
          <w:b/>
          <w:color w:val="auto"/>
          <w:spacing w:val="20"/>
          <w:sz w:val="24"/>
          <w:szCs w:val="24"/>
          <w:highlight w:val="none"/>
        </w:rPr>
      </w:pPr>
      <w:bookmarkStart w:id="7" w:name="_Toc23408"/>
      <w:r>
        <w:rPr>
          <w:rFonts w:hint="eastAsia"/>
          <w:b/>
          <w:color w:val="auto"/>
          <w:spacing w:val="20"/>
          <w:sz w:val="24"/>
          <w:szCs w:val="24"/>
          <w:highlight w:val="none"/>
          <w:lang w:eastAsia="zh-CN"/>
        </w:rPr>
        <w:t>七</w:t>
      </w:r>
      <w:r>
        <w:rPr>
          <w:rFonts w:hint="eastAsia" w:ascii="宋体" w:hAnsi="宋体"/>
          <w:b/>
          <w:color w:val="auto"/>
          <w:spacing w:val="20"/>
          <w:sz w:val="24"/>
          <w:szCs w:val="24"/>
          <w:highlight w:val="none"/>
        </w:rPr>
        <w:t>、完工期</w:t>
      </w:r>
      <w:bookmarkEnd w:id="7"/>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1、自合同签订之日起的25个工作日内完成现场测量检查鉴定工作。</w:t>
      </w:r>
    </w:p>
    <w:p>
      <w:pPr>
        <w:spacing w:line="420" w:lineRule="atLeast"/>
        <w:ind w:firstLine="453" w:firstLineChars="206"/>
        <w:rPr>
          <w:rFonts w:hint="eastAsia" w:ascii="宋体" w:hAnsi="宋体"/>
          <w:color w:val="auto"/>
          <w:sz w:val="22"/>
          <w:szCs w:val="22"/>
          <w:highlight w:val="none"/>
        </w:rPr>
      </w:pPr>
      <w:r>
        <w:rPr>
          <w:rFonts w:hint="eastAsia" w:ascii="宋体" w:hAnsi="宋体"/>
          <w:color w:val="auto"/>
          <w:sz w:val="22"/>
          <w:szCs w:val="22"/>
          <w:highlight w:val="none"/>
        </w:rPr>
        <w:t>2、自每次现场工作完成后的20个工作日内出具房屋变形观测和裂缝检查鉴定报告。</w:t>
      </w:r>
    </w:p>
    <w:p>
      <w:pPr>
        <w:numPr>
          <w:ilvl w:val="0"/>
          <w:numId w:val="0"/>
        </w:numPr>
        <w:spacing w:line="360" w:lineRule="auto"/>
        <w:ind w:leftChars="200"/>
        <w:rPr>
          <w:rFonts w:hint="eastAsia" w:hAnsi="宋体"/>
          <w:color w:val="auto"/>
          <w:sz w:val="21"/>
          <w:szCs w:val="21"/>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rPr>
          <w:rFonts w:hint="eastAsia" w:hAnsi="宋体" w:eastAsia="宋体"/>
          <w:color w:val="auto"/>
          <w:sz w:val="24"/>
          <w:szCs w:val="24"/>
          <w:highlight w:val="none"/>
          <w:lang w:eastAsia="zh-CN"/>
        </w:rPr>
      </w:pPr>
      <w:bookmarkStart w:id="8" w:name="_Toc7563"/>
      <w:r>
        <w:rPr>
          <w:rFonts w:hint="eastAsia" w:hAnsi="宋体"/>
          <w:color w:val="auto"/>
          <w:sz w:val="24"/>
          <w:szCs w:val="24"/>
          <w:highlight w:val="none"/>
          <w:lang w:eastAsia="zh-CN"/>
        </w:rPr>
        <w:t>附件一：虎门镇2016-2018年截污次支管网工程房屋安全鉴定数量统计表</w:t>
      </w:r>
      <w:bookmarkEnd w:id="8"/>
    </w:p>
    <w:tbl>
      <w:tblPr>
        <w:tblStyle w:val="5"/>
        <w:tblW w:w="954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0"/>
        <w:gridCol w:w="2652"/>
        <w:gridCol w:w="1350"/>
        <w:gridCol w:w="1417"/>
        <w:gridCol w:w="1467"/>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管网</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片区</w:t>
            </w:r>
          </w:p>
        </w:tc>
        <w:tc>
          <w:tcPr>
            <w:tcW w:w="2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片区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范围</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房屋鉴定数量</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房屋鉴定面积</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鉴定收费标准</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房屋鉴定费用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第一</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片区</w:t>
            </w:r>
          </w:p>
        </w:tc>
        <w:tc>
          <w:tcPr>
            <w:tcW w:w="2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金宁路、宁江路、宁馨北路、麒麟西路、建设南路、江涌路</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8栋</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4400㎡</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24元/㎡</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105600元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第二</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片区</w:t>
            </w:r>
          </w:p>
        </w:tc>
        <w:tc>
          <w:tcPr>
            <w:tcW w:w="2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环岛路、天培露、南北大道、长堤路、东方下路、人民北路、连升北路</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62栋</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34100㎡</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24元/㎡</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818400元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第三</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片区</w:t>
            </w:r>
          </w:p>
        </w:tc>
        <w:tc>
          <w:tcPr>
            <w:tcW w:w="2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海景东路、南新路、文明路、文明里十五巷、文明路十八巷、太沙路、宴岗大道、路东大道、新安西路、东环二路、新围被二路、富民路、无名路</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116栋</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63800㎡</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24元/㎡</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1531200元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第四</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片区</w:t>
            </w:r>
          </w:p>
        </w:tc>
        <w:tc>
          <w:tcPr>
            <w:tcW w:w="2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富民路、三江路、西湖路、太沙路、沙电路、沿河路、连升南路、振兴路</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107栋</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58850㎡</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24元/㎡</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1412400元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26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293栋</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161150㎡</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24元/㎡</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3867600元</w:t>
            </w:r>
          </w:p>
        </w:tc>
      </w:tr>
    </w:tbl>
    <w:p>
      <w:pPr>
        <w:spacing w:line="360" w:lineRule="auto"/>
        <w:ind w:firstLine="200"/>
        <w:contextualSpacing/>
        <w:rPr>
          <w:rFonts w:hint="eastAsia" w:ascii="Calibri" w:hAnsi="宋体" w:cs="宋体"/>
          <w:color w:val="auto"/>
          <w:kern w:val="2"/>
          <w:sz w:val="21"/>
          <w:szCs w:val="21"/>
          <w:highlight w:val="none"/>
          <w:lang w:eastAsia="zh-CN"/>
        </w:rPr>
      </w:pPr>
      <w:r>
        <w:rPr>
          <w:rFonts w:hint="eastAsia" w:ascii="Calibri" w:hAnsi="宋体" w:cs="宋体"/>
          <w:color w:val="auto"/>
          <w:kern w:val="2"/>
          <w:sz w:val="21"/>
          <w:szCs w:val="21"/>
          <w:highlight w:val="none"/>
        </w:rPr>
        <w:t>注：上表</w:t>
      </w:r>
      <w:r>
        <w:rPr>
          <w:rFonts w:hint="eastAsia" w:ascii="Calibri" w:hAnsi="宋体" w:cs="宋体"/>
          <w:color w:val="auto"/>
          <w:kern w:val="2"/>
          <w:sz w:val="21"/>
          <w:szCs w:val="21"/>
          <w:highlight w:val="none"/>
          <w:lang w:eastAsia="zh-CN"/>
        </w:rPr>
        <w:t>鉴定面积</w:t>
      </w:r>
      <w:r>
        <w:rPr>
          <w:rFonts w:hint="eastAsia" w:ascii="Calibri" w:hAnsi="宋体" w:cs="宋体"/>
          <w:color w:val="auto"/>
          <w:kern w:val="2"/>
          <w:sz w:val="21"/>
          <w:szCs w:val="21"/>
          <w:highlight w:val="none"/>
        </w:rPr>
        <w:t>为暂定量，结算时按照招标人确认的实际</w:t>
      </w:r>
      <w:r>
        <w:rPr>
          <w:rFonts w:hint="eastAsia" w:ascii="Calibri" w:hAnsi="宋体" w:cs="宋体"/>
          <w:color w:val="auto"/>
          <w:kern w:val="2"/>
          <w:sz w:val="21"/>
          <w:szCs w:val="21"/>
          <w:highlight w:val="none"/>
          <w:lang w:eastAsia="zh-CN"/>
        </w:rPr>
        <w:t>鉴定面积乘以中标综合单价</w:t>
      </w:r>
      <w:r>
        <w:rPr>
          <w:rFonts w:hint="eastAsia" w:ascii="Calibri" w:hAnsi="宋体" w:cs="宋体"/>
          <w:color w:val="auto"/>
          <w:kern w:val="2"/>
          <w:sz w:val="21"/>
          <w:szCs w:val="21"/>
          <w:highlight w:val="none"/>
        </w:rPr>
        <w:t>按实结算</w:t>
      </w:r>
      <w:r>
        <w:rPr>
          <w:rFonts w:hint="eastAsia" w:ascii="Calibri" w:hAnsi="宋体" w:cs="宋体"/>
          <w:color w:val="auto"/>
          <w:kern w:val="2"/>
          <w:sz w:val="21"/>
          <w:szCs w:val="21"/>
          <w:highlight w:val="none"/>
          <w:lang w:eastAsia="zh-CN"/>
        </w:rPr>
        <w:t>，中标人须按招标人提供的工程量完成全部鉴定工作。若结算价超过本项目预算价（</w:t>
      </w:r>
      <w:r>
        <w:rPr>
          <w:rFonts w:hint="eastAsia" w:ascii="Calibri" w:hAnsi="宋体" w:cs="宋体"/>
          <w:color w:val="auto"/>
          <w:kern w:val="2"/>
          <w:sz w:val="21"/>
          <w:szCs w:val="21"/>
          <w:highlight w:val="none"/>
        </w:rPr>
        <w:t>¥3,867,600.00元</w:t>
      </w:r>
      <w:r>
        <w:rPr>
          <w:rFonts w:hint="eastAsia" w:ascii="Calibri" w:hAnsi="宋体" w:cs="宋体"/>
          <w:color w:val="auto"/>
          <w:kern w:val="2"/>
          <w:sz w:val="21"/>
          <w:szCs w:val="21"/>
          <w:highlight w:val="none"/>
          <w:lang w:eastAsia="zh-CN"/>
        </w:rPr>
        <w:t>），则按本项目预算价结算，超出部分（超出总鉴定面积的</w:t>
      </w:r>
      <w:r>
        <w:rPr>
          <w:rFonts w:hint="eastAsia" w:ascii="Calibri" w:hAnsi="宋体" w:cs="宋体"/>
          <w:color w:val="auto"/>
          <w:kern w:val="2"/>
          <w:sz w:val="21"/>
          <w:szCs w:val="21"/>
          <w:highlight w:val="none"/>
          <w:lang w:val="en-US" w:eastAsia="zh-CN"/>
        </w:rPr>
        <w:t>5%以内</w:t>
      </w:r>
      <w:r>
        <w:rPr>
          <w:rFonts w:hint="eastAsia" w:ascii="Calibri" w:hAnsi="宋体" w:cs="宋体"/>
          <w:color w:val="auto"/>
          <w:kern w:val="2"/>
          <w:sz w:val="21"/>
          <w:szCs w:val="21"/>
          <w:highlight w:val="none"/>
          <w:lang w:eastAsia="zh-CN"/>
        </w:rPr>
        <w:t>）招标人不予承担。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Garamond">
    <w:altName w:val="hakuyoxingshu7000"/>
    <w:panose1 w:val="02020502050306020203"/>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Arial Black">
    <w:panose1 w:val="020B0A040201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时尚中黑简体">
    <w:altName w:val="黑体"/>
    <w:panose1 w:val="01010104010101010101"/>
    <w:charset w:val="86"/>
    <w:family w:val="auto"/>
    <w:pitch w:val="default"/>
    <w:sig w:usb0="00000000" w:usb1="00000000" w:usb2="00000012" w:usb3="00000000" w:csb0="00040001"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52E6F"/>
    <w:rsid w:val="2DF52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sz w:val="24"/>
      <w:szCs w:val="24"/>
      <w:lang w:val="en-US" w:eastAsia="zh-CN" w:bidi="ar-SA"/>
    </w:rPr>
  </w:style>
  <w:style w:type="paragraph" w:styleId="2">
    <w:name w:val="heading 1"/>
    <w:basedOn w:val="1"/>
    <w:next w:val="1"/>
    <w:qFormat/>
    <w:uiPriority w:val="0"/>
    <w:pPr>
      <w:outlineLvl w:val="0"/>
    </w:pPr>
  </w:style>
  <w:style w:type="paragraph" w:styleId="3">
    <w:name w:val="heading 2"/>
    <w:basedOn w:val="1"/>
    <w:next w:val="1"/>
    <w:semiHidden/>
    <w:unhideWhenUsed/>
    <w:qFormat/>
    <w:uiPriority w:val="0"/>
    <w:pPr>
      <w:outlineLvl w:val="1"/>
    </w:pPr>
    <w:rPr>
      <w:rFonts w:hAnsi="宋体" w:eastAsia="宋体"/>
      <w:b/>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2018-01-10T01:24:00Z</dcterms:created>
  <dc:creator>lyy</dc:creator>
  <cp:lastModifiedBy>lyy</cp:lastModifiedBy>
  <dcterms:modified xsi:type="dcterms:W3CDTF">2018-01-10T01:26:24Z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